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0533BD" w:rsidRDefault="00CE4995" w:rsidP="000533BD">
      <w:pPr>
        <w:ind w:left="90"/>
        <w:jc w:val="center"/>
        <w:rPr>
          <w:b/>
          <w:u w:val="single"/>
        </w:rPr>
      </w:pPr>
      <w:r>
        <w:rPr>
          <w:i/>
          <w:sz w:val="20"/>
          <w:szCs w:val="20"/>
        </w:rPr>
        <w:t>Small and Medium Enterprises</w:t>
      </w:r>
      <w:r w:rsidR="00196C12">
        <w:rPr>
          <w:b/>
        </w:rPr>
        <w:t xml:space="preserve"> </w:t>
      </w:r>
      <w:r w:rsidR="00196C12"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06223D" w:rsidTr="00D1620E">
        <w:trPr>
          <w:trHeight w:val="7866"/>
        </w:trPr>
        <w:tc>
          <w:tcPr>
            <w:tcW w:w="9309" w:type="dxa"/>
          </w:tcPr>
          <w:p w:rsidR="00BC3ACF" w:rsidRDefault="0006223D" w:rsidP="001E34D8">
            <w:pPr>
              <w:pStyle w:val="ListParagraph"/>
              <w:ind w:left="0"/>
              <w:rPr>
                <w:bCs/>
                <w:sz w:val="20"/>
                <w:szCs w:val="20"/>
              </w:rPr>
            </w:pPr>
            <w:r w:rsidRPr="0006223D">
              <w:rPr>
                <w:bCs/>
                <w:sz w:val="20"/>
                <w:szCs w:val="20"/>
              </w:rPr>
              <w:t xml:space="preserve">SAP identified that </w:t>
            </w:r>
            <w:r>
              <w:rPr>
                <w:bCs/>
                <w:sz w:val="20"/>
                <w:szCs w:val="20"/>
              </w:rPr>
              <w:t xml:space="preserve">a comprehensive legal and regulatory frame work needs to be drafted and implemented in order to facilitate sector development. SME development bill has been drafted in consultation with stake holders and translated in to local language. It is expected to send the bill to Attorney General office by end of second quarter. SME development council was also developed and a definition for SMEs has been approved by the council. Furthermore, the council advises MED on its SME loan program and capacity development program for SMEs. </w:t>
            </w:r>
          </w:p>
          <w:p w:rsidR="006966EF" w:rsidRDefault="006966EF" w:rsidP="001E34D8">
            <w:pPr>
              <w:pStyle w:val="ListParagraph"/>
              <w:ind w:left="0"/>
              <w:rPr>
                <w:bCs/>
                <w:sz w:val="20"/>
                <w:szCs w:val="20"/>
              </w:rPr>
            </w:pPr>
          </w:p>
          <w:p w:rsidR="0006223D" w:rsidRDefault="0074509C" w:rsidP="00654E2F">
            <w:pPr>
              <w:pStyle w:val="ListParagraph"/>
              <w:ind w:left="0"/>
              <w:rPr>
                <w:bCs/>
                <w:sz w:val="20"/>
                <w:szCs w:val="20"/>
              </w:rPr>
            </w:pPr>
            <w:r>
              <w:rPr>
                <w:bCs/>
                <w:sz w:val="20"/>
                <w:szCs w:val="20"/>
              </w:rPr>
              <w:t xml:space="preserve">MED has conducted negotiation with Bank of Maldives to develop their development banking arm, Development Banking Cell into </w:t>
            </w:r>
            <w:r w:rsidR="006966EF">
              <w:rPr>
                <w:bCs/>
                <w:sz w:val="20"/>
                <w:szCs w:val="20"/>
              </w:rPr>
              <w:t xml:space="preserve">an </w:t>
            </w:r>
            <w:r>
              <w:rPr>
                <w:bCs/>
                <w:sz w:val="20"/>
                <w:szCs w:val="20"/>
              </w:rPr>
              <w:t xml:space="preserve">SME Development bank. Negotiations were also conducted together with Maldives Post Limited to incorporate SME Development activities into their postal banking services. </w:t>
            </w:r>
            <w:r w:rsidR="00654E2F">
              <w:rPr>
                <w:bCs/>
                <w:sz w:val="20"/>
                <w:szCs w:val="20"/>
              </w:rPr>
              <w:t>Furthermore</w:t>
            </w:r>
            <w:r w:rsidR="007C4072">
              <w:rPr>
                <w:bCs/>
                <w:sz w:val="20"/>
                <w:szCs w:val="20"/>
              </w:rPr>
              <w:t>, attempts</w:t>
            </w:r>
            <w:r w:rsidR="002B0B5F">
              <w:rPr>
                <w:bCs/>
                <w:sz w:val="20"/>
                <w:szCs w:val="20"/>
              </w:rPr>
              <w:t xml:space="preserve"> to mobile the initial capital required forming a tier 2 bank </w:t>
            </w:r>
            <w:r w:rsidR="00654E2F">
              <w:rPr>
                <w:bCs/>
                <w:sz w:val="20"/>
                <w:szCs w:val="20"/>
              </w:rPr>
              <w:t xml:space="preserve">as a separate independent development bank </w:t>
            </w:r>
            <w:r w:rsidR="002B0B5F">
              <w:rPr>
                <w:bCs/>
                <w:sz w:val="20"/>
                <w:szCs w:val="20"/>
              </w:rPr>
              <w:t xml:space="preserve">was unsuccessful. </w:t>
            </w:r>
            <w:r w:rsidR="00654E2F">
              <w:rPr>
                <w:bCs/>
                <w:sz w:val="20"/>
                <w:szCs w:val="20"/>
              </w:rPr>
              <w:t xml:space="preserve">The establishment of a separate SME Bank has been kept on hold while alternative approaches are being perused to improve access to finance for SMEs. In this regard initial work has been commenced to formulate a credit guarantee scheme for SMEs and introduce insurance based products. </w:t>
            </w:r>
          </w:p>
          <w:p w:rsidR="0074509C" w:rsidRDefault="0074509C" w:rsidP="001E34D8">
            <w:pPr>
              <w:pStyle w:val="ListParagraph"/>
              <w:ind w:left="0"/>
              <w:rPr>
                <w:bCs/>
                <w:sz w:val="20"/>
                <w:szCs w:val="20"/>
              </w:rPr>
            </w:pPr>
          </w:p>
          <w:p w:rsidR="0074509C" w:rsidRDefault="0074509C" w:rsidP="00870B22">
            <w:pPr>
              <w:pStyle w:val="ListParagraph"/>
              <w:ind w:left="0"/>
              <w:rPr>
                <w:bCs/>
                <w:sz w:val="20"/>
                <w:szCs w:val="20"/>
              </w:rPr>
            </w:pPr>
            <w:r>
              <w:rPr>
                <w:bCs/>
                <w:sz w:val="20"/>
                <w:szCs w:val="20"/>
              </w:rPr>
              <w:t>Furthermore, MED continue</w:t>
            </w:r>
            <w:r w:rsidR="00870B22">
              <w:rPr>
                <w:bCs/>
                <w:sz w:val="20"/>
                <w:szCs w:val="20"/>
              </w:rPr>
              <w:t>s its SME Development Loan Program to su</w:t>
            </w:r>
            <w:r w:rsidR="002B0B5F">
              <w:rPr>
                <w:bCs/>
                <w:sz w:val="20"/>
                <w:szCs w:val="20"/>
              </w:rPr>
              <w:t xml:space="preserve">pport SMEs by providing low cost financing schemes. </w:t>
            </w:r>
            <w:r w:rsidR="00870B22">
              <w:rPr>
                <w:bCs/>
                <w:sz w:val="20"/>
                <w:szCs w:val="20"/>
              </w:rPr>
              <w:t xml:space="preserve"> </w:t>
            </w:r>
            <w:r>
              <w:rPr>
                <w:bCs/>
                <w:sz w:val="20"/>
                <w:szCs w:val="20"/>
              </w:rPr>
              <w:t xml:space="preserve"> </w:t>
            </w:r>
            <w:r w:rsidR="00654E2F">
              <w:rPr>
                <w:bCs/>
                <w:sz w:val="20"/>
                <w:szCs w:val="20"/>
              </w:rPr>
              <w:t xml:space="preserve">From the loan scheme introduced in 2009-2010, a total of </w:t>
            </w:r>
            <w:proofErr w:type="spellStart"/>
            <w:r w:rsidR="00654E2F">
              <w:rPr>
                <w:bCs/>
                <w:sz w:val="20"/>
                <w:szCs w:val="20"/>
              </w:rPr>
              <w:t>Mrf</w:t>
            </w:r>
            <w:proofErr w:type="spellEnd"/>
            <w:r w:rsidR="00654E2F">
              <w:rPr>
                <w:bCs/>
                <w:sz w:val="20"/>
                <w:szCs w:val="20"/>
              </w:rPr>
              <w:t xml:space="preserve"> 18.8 million were disbursed to 274 parties of which 40% were disbursed to women enterprises. In the 2011 loan scheme, in the first round </w:t>
            </w:r>
            <w:proofErr w:type="spellStart"/>
            <w:r w:rsidR="00654E2F">
              <w:rPr>
                <w:bCs/>
                <w:sz w:val="20"/>
                <w:szCs w:val="20"/>
              </w:rPr>
              <w:t>Mrf</w:t>
            </w:r>
            <w:proofErr w:type="spellEnd"/>
            <w:r w:rsidR="00654E2F">
              <w:rPr>
                <w:bCs/>
                <w:sz w:val="20"/>
                <w:szCs w:val="20"/>
              </w:rPr>
              <w:t xml:space="preserve"> 35 million will be disbursed </w:t>
            </w:r>
            <w:r w:rsidR="00B06B4C">
              <w:rPr>
                <w:bCs/>
                <w:sz w:val="20"/>
                <w:szCs w:val="20"/>
              </w:rPr>
              <w:t xml:space="preserve">and by early May 69 parties have been shortlisted for loan disbursement subject to review of credit history by the Bank of Maldives. The 35 million is expected to be </w:t>
            </w:r>
            <w:r w:rsidR="00C91717">
              <w:rPr>
                <w:bCs/>
                <w:sz w:val="20"/>
                <w:szCs w:val="20"/>
              </w:rPr>
              <w:t>disbursed by end of June.</w:t>
            </w:r>
            <w:r w:rsidR="00654E2F">
              <w:rPr>
                <w:bCs/>
                <w:sz w:val="20"/>
                <w:szCs w:val="20"/>
              </w:rPr>
              <w:t xml:space="preserve">   </w:t>
            </w:r>
          </w:p>
          <w:p w:rsidR="003123D0" w:rsidRDefault="003123D0" w:rsidP="00870B22">
            <w:pPr>
              <w:pStyle w:val="ListParagraph"/>
              <w:ind w:left="0"/>
              <w:rPr>
                <w:bCs/>
                <w:sz w:val="20"/>
                <w:szCs w:val="20"/>
              </w:rPr>
            </w:pPr>
          </w:p>
          <w:p w:rsidR="003123D0" w:rsidRDefault="003123D0" w:rsidP="005A30C4">
            <w:pPr>
              <w:pStyle w:val="ListParagraph"/>
              <w:ind w:left="0"/>
              <w:rPr>
                <w:bCs/>
                <w:sz w:val="20"/>
                <w:szCs w:val="20"/>
              </w:rPr>
            </w:pPr>
            <w:r>
              <w:rPr>
                <w:bCs/>
                <w:sz w:val="20"/>
                <w:szCs w:val="20"/>
              </w:rPr>
              <w:t>Business Development Services Centers (BDSC) have been established in Upper North Region and South Region in</w:t>
            </w:r>
            <w:r w:rsidR="005A30C4">
              <w:rPr>
                <w:bCs/>
                <w:sz w:val="20"/>
                <w:szCs w:val="20"/>
              </w:rPr>
              <w:t xml:space="preserve"> July</w:t>
            </w:r>
            <w:r>
              <w:rPr>
                <w:bCs/>
                <w:sz w:val="20"/>
                <w:szCs w:val="20"/>
              </w:rPr>
              <w:t xml:space="preserve"> 2010</w:t>
            </w:r>
            <w:r w:rsidR="00BA2911">
              <w:rPr>
                <w:bCs/>
                <w:sz w:val="20"/>
                <w:szCs w:val="20"/>
              </w:rPr>
              <w:t xml:space="preserve"> to provide decentralized business development support services</w:t>
            </w:r>
            <w:r>
              <w:rPr>
                <w:bCs/>
                <w:sz w:val="20"/>
                <w:szCs w:val="20"/>
              </w:rPr>
              <w:t xml:space="preserve">. Additional BDSCs </w:t>
            </w:r>
            <w:r w:rsidR="00C91717">
              <w:rPr>
                <w:bCs/>
                <w:sz w:val="20"/>
                <w:szCs w:val="20"/>
              </w:rPr>
              <w:t xml:space="preserve">have </w:t>
            </w:r>
            <w:proofErr w:type="gramStart"/>
            <w:r w:rsidR="00C91717">
              <w:rPr>
                <w:bCs/>
                <w:sz w:val="20"/>
                <w:szCs w:val="20"/>
              </w:rPr>
              <w:t xml:space="preserve">been </w:t>
            </w:r>
            <w:r>
              <w:rPr>
                <w:bCs/>
                <w:sz w:val="20"/>
                <w:szCs w:val="20"/>
              </w:rPr>
              <w:t xml:space="preserve"> established</w:t>
            </w:r>
            <w:proofErr w:type="gramEnd"/>
            <w:r>
              <w:rPr>
                <w:bCs/>
                <w:sz w:val="20"/>
                <w:szCs w:val="20"/>
              </w:rPr>
              <w:t xml:space="preserve"> in North Region and Upper South Region</w:t>
            </w:r>
            <w:r w:rsidR="00C91717">
              <w:rPr>
                <w:bCs/>
                <w:sz w:val="20"/>
                <w:szCs w:val="20"/>
              </w:rPr>
              <w:t xml:space="preserve"> in May 2011</w:t>
            </w:r>
            <w:r>
              <w:rPr>
                <w:bCs/>
                <w:sz w:val="20"/>
                <w:szCs w:val="20"/>
              </w:rPr>
              <w:t xml:space="preserve">. BDSCs are mainly responsible for providing Business Development trainings, </w:t>
            </w:r>
            <w:proofErr w:type="gramStart"/>
            <w:r>
              <w:rPr>
                <w:bCs/>
                <w:sz w:val="20"/>
                <w:szCs w:val="20"/>
              </w:rPr>
              <w:t>counseling  and</w:t>
            </w:r>
            <w:proofErr w:type="gramEnd"/>
            <w:r>
              <w:rPr>
                <w:bCs/>
                <w:sz w:val="20"/>
                <w:szCs w:val="20"/>
              </w:rPr>
              <w:t xml:space="preserve"> other necessary business development related </w:t>
            </w:r>
            <w:r w:rsidR="00C91717">
              <w:rPr>
                <w:bCs/>
                <w:sz w:val="20"/>
                <w:szCs w:val="20"/>
              </w:rPr>
              <w:t xml:space="preserve">support services </w:t>
            </w:r>
            <w:r>
              <w:rPr>
                <w:bCs/>
                <w:sz w:val="20"/>
                <w:szCs w:val="20"/>
              </w:rPr>
              <w:t xml:space="preserve">. </w:t>
            </w:r>
          </w:p>
          <w:p w:rsidR="003123D0" w:rsidRDefault="003123D0" w:rsidP="003123D0">
            <w:pPr>
              <w:pStyle w:val="ListParagraph"/>
              <w:ind w:left="0"/>
              <w:rPr>
                <w:bCs/>
                <w:sz w:val="20"/>
                <w:szCs w:val="20"/>
              </w:rPr>
            </w:pPr>
          </w:p>
          <w:p w:rsidR="003123D0" w:rsidRPr="0006223D" w:rsidRDefault="003123D0" w:rsidP="00BA2911">
            <w:pPr>
              <w:pStyle w:val="ListParagraph"/>
              <w:ind w:left="0"/>
              <w:rPr>
                <w:bCs/>
                <w:sz w:val="20"/>
                <w:szCs w:val="20"/>
              </w:rPr>
            </w:pPr>
            <w:r>
              <w:rPr>
                <w:bCs/>
                <w:sz w:val="20"/>
                <w:szCs w:val="20"/>
              </w:rPr>
              <w:t xml:space="preserve">In order to facilitate </w:t>
            </w:r>
            <w:r w:rsidR="00BA2911">
              <w:rPr>
                <w:bCs/>
                <w:sz w:val="20"/>
                <w:szCs w:val="20"/>
              </w:rPr>
              <w:t xml:space="preserve">backward and forward </w:t>
            </w:r>
            <w:proofErr w:type="gramStart"/>
            <w:r w:rsidR="00BA2911">
              <w:rPr>
                <w:bCs/>
                <w:sz w:val="20"/>
                <w:szCs w:val="20"/>
              </w:rPr>
              <w:t xml:space="preserve">market </w:t>
            </w:r>
            <w:r w:rsidR="0083030F">
              <w:rPr>
                <w:bCs/>
                <w:sz w:val="20"/>
                <w:szCs w:val="20"/>
              </w:rPr>
              <w:t xml:space="preserve"> linkages</w:t>
            </w:r>
            <w:proofErr w:type="gramEnd"/>
            <w:r w:rsidR="0083030F">
              <w:rPr>
                <w:bCs/>
                <w:sz w:val="20"/>
                <w:szCs w:val="20"/>
              </w:rPr>
              <w:t xml:space="preserve"> of SMEs to major economic sectors, MED has initiated business forum with tourism industries, with assistance from UNDP and Ministry of Tourism, Arts and Culture. </w:t>
            </w:r>
            <w:r w:rsidR="005A30C4">
              <w:rPr>
                <w:bCs/>
                <w:sz w:val="20"/>
                <w:szCs w:val="20"/>
              </w:rPr>
              <w:t>A resort forum was held in the North in Oct 2010</w:t>
            </w:r>
            <w:r w:rsidR="00BA2911">
              <w:rPr>
                <w:bCs/>
                <w:sz w:val="20"/>
                <w:szCs w:val="20"/>
              </w:rPr>
              <w:t xml:space="preserve"> while in 2011 similar forums will be held in July in two additional locations.</w:t>
            </w:r>
            <w:ins w:id="0" w:author="user" w:date="2011-05-17T08:44:00Z">
              <w:r w:rsidR="005A30C4">
                <w:rPr>
                  <w:bCs/>
                  <w:sz w:val="20"/>
                  <w:szCs w:val="20"/>
                </w:rPr>
                <w:t xml:space="preserve"> </w:t>
              </w:r>
            </w:ins>
          </w:p>
          <w:p w:rsidR="00BC3ACF" w:rsidRPr="0006223D" w:rsidRDefault="00BC3ACF" w:rsidP="001E34D8">
            <w:pPr>
              <w:pStyle w:val="ListParagraph"/>
              <w:ind w:left="0"/>
              <w:rPr>
                <w:bCs/>
                <w:sz w:val="20"/>
                <w:szCs w:val="20"/>
              </w:rPr>
            </w:pPr>
          </w:p>
          <w:p w:rsidR="00C104D4" w:rsidRPr="0006223D" w:rsidRDefault="00C104D4" w:rsidP="001E34D8">
            <w:pPr>
              <w:pStyle w:val="ListParagraph"/>
              <w:ind w:left="0"/>
              <w:rPr>
                <w:bCs/>
                <w:sz w:val="20"/>
                <w:szCs w:val="20"/>
              </w:rPr>
            </w:pP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Tr="00D1620E">
        <w:trPr>
          <w:trHeight w:val="547"/>
        </w:trPr>
        <w:tc>
          <w:tcPr>
            <w:tcW w:w="3798" w:type="dxa"/>
            <w:gridSpan w:val="2"/>
          </w:tcPr>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782" w:type="dxa"/>
          </w:tcPr>
          <w:p w:rsidR="00D1620E" w:rsidRDefault="00D1620E" w:rsidP="001E34D8">
            <w:pPr>
              <w:pStyle w:val="ListParagraph"/>
              <w:ind w:left="0"/>
              <w:jc w:val="center"/>
            </w:pPr>
            <w:r>
              <w:t>Issues</w:t>
            </w:r>
          </w:p>
        </w:tc>
      </w:tr>
      <w:tr w:rsidR="00D1620E" w:rsidTr="00D1620E">
        <w:trPr>
          <w:trHeight w:val="135"/>
        </w:trPr>
        <w:tc>
          <w:tcPr>
            <w:tcW w:w="384" w:type="dxa"/>
          </w:tcPr>
          <w:p w:rsidR="00D1620E" w:rsidRDefault="00D1620E" w:rsidP="001E34D8">
            <w:pPr>
              <w:pStyle w:val="ListParagraph"/>
              <w:ind w:left="0"/>
            </w:pPr>
            <w:r>
              <w:t>1.</w:t>
            </w:r>
          </w:p>
        </w:tc>
        <w:tc>
          <w:tcPr>
            <w:tcW w:w="3414" w:type="dxa"/>
          </w:tcPr>
          <w:p w:rsidR="00D1620E" w:rsidRDefault="0083030F" w:rsidP="001E34D8">
            <w:pPr>
              <w:pStyle w:val="ListParagraph"/>
              <w:ind w:left="0"/>
            </w:pPr>
            <w:r>
              <w:rPr>
                <w:sz w:val="20"/>
                <w:szCs w:val="20"/>
              </w:rPr>
              <w:t>Mechanism for evidence based SME Policy Formulation established</w:t>
            </w:r>
          </w:p>
        </w:tc>
        <w:tc>
          <w:tcPr>
            <w:tcW w:w="3690" w:type="dxa"/>
          </w:tcPr>
          <w:p w:rsidR="0091597F" w:rsidRDefault="00BA2911">
            <w:pPr>
              <w:pStyle w:val="ListParagraph"/>
              <w:numPr>
                <w:ilvl w:val="0"/>
                <w:numId w:val="6"/>
              </w:numPr>
            </w:pPr>
            <w:r>
              <w:t>SME mapping study conducted and findings utilized in, defining SMEs, finalizing SME lending policy and further fine tune SME policies and strategies</w:t>
            </w:r>
          </w:p>
        </w:tc>
        <w:tc>
          <w:tcPr>
            <w:tcW w:w="1782" w:type="dxa"/>
          </w:tcPr>
          <w:p w:rsidR="0091597F" w:rsidRDefault="00E41267">
            <w:pPr>
              <w:pStyle w:val="ListParagraph"/>
              <w:numPr>
                <w:ilvl w:val="0"/>
                <w:numId w:val="6"/>
              </w:numPr>
            </w:pPr>
            <w:r>
              <w:t xml:space="preserve">Operation of many SMEs in the informal sectors </w:t>
            </w:r>
            <w:r>
              <w:lastRenderedPageBreak/>
              <w:t>continues to be a challenge for establishing an evidence based broad overview of the sector</w:t>
            </w:r>
          </w:p>
        </w:tc>
      </w:tr>
      <w:tr w:rsidR="00D1620E" w:rsidTr="00D1620E">
        <w:trPr>
          <w:trHeight w:val="135"/>
        </w:trPr>
        <w:tc>
          <w:tcPr>
            <w:tcW w:w="384" w:type="dxa"/>
          </w:tcPr>
          <w:p w:rsidR="00D1620E" w:rsidRDefault="00D1620E" w:rsidP="001E34D8">
            <w:pPr>
              <w:pStyle w:val="ListParagraph"/>
              <w:ind w:left="0"/>
            </w:pPr>
            <w:r>
              <w:lastRenderedPageBreak/>
              <w:t>2.</w:t>
            </w:r>
          </w:p>
        </w:tc>
        <w:tc>
          <w:tcPr>
            <w:tcW w:w="3414" w:type="dxa"/>
          </w:tcPr>
          <w:p w:rsidR="00D1620E" w:rsidRDefault="003E06AC" w:rsidP="003E06AC">
            <w:pPr>
              <w:pStyle w:val="ListParagraph"/>
              <w:ind w:left="0"/>
            </w:pPr>
            <w:r>
              <w:rPr>
                <w:sz w:val="20"/>
                <w:szCs w:val="20"/>
              </w:rPr>
              <w:t>Broad base i</w:t>
            </w:r>
            <w:r w:rsidR="0083030F">
              <w:rPr>
                <w:sz w:val="20"/>
                <w:szCs w:val="20"/>
              </w:rPr>
              <w:t xml:space="preserve">ncentives and other support services for Micro, Small and Medium business development </w:t>
            </w:r>
            <w:r>
              <w:rPr>
                <w:sz w:val="20"/>
                <w:szCs w:val="20"/>
              </w:rPr>
              <w:t xml:space="preserve">initiated </w:t>
            </w:r>
            <w:r w:rsidR="0083030F">
              <w:rPr>
                <w:sz w:val="20"/>
                <w:szCs w:val="20"/>
              </w:rPr>
              <w:t xml:space="preserve">  </w:t>
            </w:r>
          </w:p>
        </w:tc>
        <w:tc>
          <w:tcPr>
            <w:tcW w:w="3690" w:type="dxa"/>
          </w:tcPr>
          <w:p w:rsidR="0091597F" w:rsidRDefault="003E06AC">
            <w:pPr>
              <w:pStyle w:val="ListParagraph"/>
              <w:numPr>
                <w:ilvl w:val="0"/>
                <w:numId w:val="6"/>
              </w:numPr>
            </w:pPr>
            <w:r>
              <w:t xml:space="preserve">Four BDSC centers established for provision of support service centers. Centers located in S. Addu, </w:t>
            </w:r>
            <w:proofErr w:type="spellStart"/>
            <w:r>
              <w:t>H.Dh</w:t>
            </w:r>
            <w:proofErr w:type="spellEnd"/>
            <w:r>
              <w:t xml:space="preserve"> </w:t>
            </w:r>
            <w:proofErr w:type="spellStart"/>
            <w:r>
              <w:t>Kulhudufushi</w:t>
            </w:r>
            <w:proofErr w:type="spellEnd"/>
            <w:r>
              <w:t xml:space="preserve">, </w:t>
            </w:r>
            <w:proofErr w:type="spellStart"/>
            <w:r>
              <w:t>Lh</w:t>
            </w:r>
            <w:proofErr w:type="spellEnd"/>
            <w:r>
              <w:t xml:space="preserve">. </w:t>
            </w:r>
            <w:proofErr w:type="spellStart"/>
            <w:r>
              <w:t>Hinnavaru</w:t>
            </w:r>
            <w:proofErr w:type="spellEnd"/>
            <w:r>
              <w:t xml:space="preserve">, </w:t>
            </w:r>
            <w:proofErr w:type="spellStart"/>
            <w:r>
              <w:t>G.Dh</w:t>
            </w:r>
            <w:proofErr w:type="spellEnd"/>
            <w:r>
              <w:t xml:space="preserve">. </w:t>
            </w:r>
            <w:proofErr w:type="spellStart"/>
            <w:r>
              <w:t>Thinadhoo</w:t>
            </w:r>
            <w:proofErr w:type="spellEnd"/>
          </w:p>
          <w:p w:rsidR="0091597F" w:rsidRDefault="003E06AC">
            <w:pPr>
              <w:pStyle w:val="ListParagraph"/>
              <w:numPr>
                <w:ilvl w:val="0"/>
                <w:numId w:val="6"/>
              </w:numPr>
            </w:pPr>
            <w:r>
              <w:t xml:space="preserve">Soft loan schemes introduced for SMEs. In total </w:t>
            </w:r>
            <w:proofErr w:type="spellStart"/>
            <w:r>
              <w:t>Mrf</w:t>
            </w:r>
            <w:proofErr w:type="spellEnd"/>
            <w:r>
              <w:t xml:space="preserve"> 18.8m disbursed in  2009-2010 and in 2011, in the first round </w:t>
            </w:r>
            <w:proofErr w:type="spellStart"/>
            <w:r>
              <w:t>Mrf</w:t>
            </w:r>
            <w:proofErr w:type="spellEnd"/>
            <w:r>
              <w:t xml:space="preserve"> 35m will be disbursed by end of June 2011</w:t>
            </w:r>
          </w:p>
          <w:p w:rsidR="0091597F" w:rsidRDefault="003E06AC">
            <w:pPr>
              <w:pStyle w:val="ListParagraph"/>
              <w:numPr>
                <w:ilvl w:val="0"/>
                <w:numId w:val="6"/>
              </w:numPr>
            </w:pPr>
            <w:r>
              <w:t>A cost-sharing scheme initiated in Feb 2011 to assist SMEs to access financing in areas relating to entrepreneurial training, business development, marketing, exposure,</w:t>
            </w:r>
            <w:r w:rsidR="00E41267">
              <w:t xml:space="preserve"> technology transfer etc. </w:t>
            </w:r>
          </w:p>
        </w:tc>
        <w:tc>
          <w:tcPr>
            <w:tcW w:w="1782" w:type="dxa"/>
          </w:tcPr>
          <w:p w:rsidR="0091597F" w:rsidRDefault="00E41267">
            <w:pPr>
              <w:pStyle w:val="ListParagraph"/>
              <w:numPr>
                <w:ilvl w:val="0"/>
                <w:numId w:val="6"/>
              </w:numPr>
            </w:pPr>
            <w:r>
              <w:t>Capacity of SMEs need to be enhance for preparation of business plan</w:t>
            </w:r>
          </w:p>
          <w:p w:rsidR="0091597F" w:rsidRDefault="00E41267">
            <w:pPr>
              <w:pStyle w:val="ListParagraph"/>
              <w:numPr>
                <w:ilvl w:val="0"/>
                <w:numId w:val="6"/>
              </w:numPr>
            </w:pPr>
            <w:r>
              <w:t>Cost sharing facility needs to be marketed more aggressively to a wider audience of SMEs</w:t>
            </w:r>
          </w:p>
          <w:p w:rsidR="0091597F" w:rsidRDefault="00E41267">
            <w:pPr>
              <w:pStyle w:val="ListParagraph"/>
              <w:numPr>
                <w:ilvl w:val="0"/>
                <w:numId w:val="6"/>
              </w:numPr>
            </w:pPr>
            <w:r>
              <w:t>Information dissemination needs to be strengthened to ensure inclusiveness of SMEs from all regions.</w:t>
            </w:r>
          </w:p>
        </w:tc>
      </w:tr>
      <w:tr w:rsidR="00D1620E" w:rsidTr="00D1620E">
        <w:trPr>
          <w:trHeight w:val="135"/>
        </w:trPr>
        <w:tc>
          <w:tcPr>
            <w:tcW w:w="384" w:type="dxa"/>
          </w:tcPr>
          <w:p w:rsidR="00D1620E" w:rsidRDefault="00D1620E" w:rsidP="001E34D8">
            <w:pPr>
              <w:pStyle w:val="ListParagraph"/>
              <w:ind w:left="0"/>
            </w:pPr>
            <w:r>
              <w:t>3.</w:t>
            </w:r>
          </w:p>
        </w:tc>
        <w:tc>
          <w:tcPr>
            <w:tcW w:w="3414" w:type="dxa"/>
          </w:tcPr>
          <w:p w:rsidR="00D1620E" w:rsidRDefault="0083030F" w:rsidP="00E41267">
            <w:pPr>
              <w:pStyle w:val="ListParagraph"/>
              <w:ind w:left="0"/>
            </w:pPr>
            <w:r>
              <w:rPr>
                <w:sz w:val="20"/>
                <w:szCs w:val="20"/>
              </w:rPr>
              <w:t xml:space="preserve">Human Resources Capacity </w:t>
            </w:r>
            <w:r w:rsidR="00E41267">
              <w:rPr>
                <w:sz w:val="20"/>
                <w:szCs w:val="20"/>
              </w:rPr>
              <w:t xml:space="preserve">required for </w:t>
            </w:r>
            <w:r>
              <w:rPr>
                <w:sz w:val="20"/>
                <w:szCs w:val="20"/>
              </w:rPr>
              <w:t xml:space="preserve"> strengthening</w:t>
            </w:r>
            <w:r w:rsidR="00E41267">
              <w:rPr>
                <w:sz w:val="20"/>
                <w:szCs w:val="20"/>
              </w:rPr>
              <w:t xml:space="preserve"> the</w:t>
            </w:r>
            <w:r>
              <w:rPr>
                <w:sz w:val="20"/>
                <w:szCs w:val="20"/>
              </w:rPr>
              <w:t xml:space="preserve"> SME sector, </w:t>
            </w:r>
            <w:r w:rsidR="00E41267">
              <w:rPr>
                <w:sz w:val="20"/>
                <w:szCs w:val="20"/>
              </w:rPr>
              <w:t xml:space="preserve">augmented and initial training needs of SMEs being </w:t>
            </w:r>
            <w:r w:rsidR="005D22ED">
              <w:rPr>
                <w:sz w:val="20"/>
                <w:szCs w:val="20"/>
              </w:rPr>
              <w:t>addressed</w:t>
            </w:r>
          </w:p>
        </w:tc>
        <w:tc>
          <w:tcPr>
            <w:tcW w:w="3690" w:type="dxa"/>
          </w:tcPr>
          <w:p w:rsidR="0091597F" w:rsidRDefault="005D22ED">
            <w:pPr>
              <w:pStyle w:val="ListParagraph"/>
              <w:numPr>
                <w:ilvl w:val="0"/>
                <w:numId w:val="6"/>
              </w:numPr>
            </w:pPr>
            <w:r>
              <w:t>Additional staff capacity recruited in BDSCs to provide decentralized business support services</w:t>
            </w:r>
          </w:p>
          <w:p w:rsidR="0091597F" w:rsidRDefault="005D22ED">
            <w:pPr>
              <w:pStyle w:val="ListParagraph"/>
              <w:numPr>
                <w:ilvl w:val="0"/>
                <w:numId w:val="6"/>
              </w:numPr>
            </w:pPr>
            <w:r>
              <w:t xml:space="preserve">Immediate trainings required for entrepreneurial development initiated in Upper North, Upper South and </w:t>
            </w:r>
            <w:r>
              <w:lastRenderedPageBreak/>
              <w:t>South Province</w:t>
            </w:r>
          </w:p>
        </w:tc>
        <w:tc>
          <w:tcPr>
            <w:tcW w:w="1782" w:type="dxa"/>
          </w:tcPr>
          <w:p w:rsidR="0091597F" w:rsidRDefault="005D22ED">
            <w:pPr>
              <w:pStyle w:val="ListParagraph"/>
              <w:numPr>
                <w:ilvl w:val="0"/>
                <w:numId w:val="6"/>
              </w:numPr>
            </w:pPr>
            <w:r>
              <w:lastRenderedPageBreak/>
              <w:t xml:space="preserve">Geography and transport continues to act as major barriers for BDSC </w:t>
            </w:r>
            <w:r>
              <w:lastRenderedPageBreak/>
              <w:t>officials to visit frequently to islands covered by each BDSC</w:t>
            </w:r>
          </w:p>
        </w:tc>
      </w:tr>
      <w:tr w:rsidR="00D1620E" w:rsidTr="00D1620E">
        <w:trPr>
          <w:trHeight w:val="135"/>
        </w:trPr>
        <w:tc>
          <w:tcPr>
            <w:tcW w:w="384" w:type="dxa"/>
          </w:tcPr>
          <w:p w:rsidR="00D1620E" w:rsidRDefault="00D1620E" w:rsidP="001E34D8">
            <w:pPr>
              <w:pStyle w:val="ListParagraph"/>
              <w:ind w:left="0"/>
            </w:pPr>
            <w:r>
              <w:lastRenderedPageBreak/>
              <w:t>4.</w:t>
            </w:r>
          </w:p>
        </w:tc>
        <w:tc>
          <w:tcPr>
            <w:tcW w:w="3414" w:type="dxa"/>
          </w:tcPr>
          <w:p w:rsidR="00D1620E" w:rsidRDefault="00497C42" w:rsidP="00497C42">
            <w:pPr>
              <w:pStyle w:val="ListParagraph"/>
              <w:ind w:left="0"/>
            </w:pPr>
            <w:r>
              <w:rPr>
                <w:sz w:val="20"/>
                <w:szCs w:val="20"/>
              </w:rPr>
              <w:t xml:space="preserve">Market </w:t>
            </w:r>
            <w:r w:rsidR="0083030F">
              <w:rPr>
                <w:sz w:val="20"/>
                <w:szCs w:val="20"/>
              </w:rPr>
              <w:t xml:space="preserve"> linkage of SMEs to major economic sectors </w:t>
            </w:r>
            <w:r>
              <w:rPr>
                <w:sz w:val="20"/>
                <w:szCs w:val="20"/>
              </w:rPr>
              <w:t xml:space="preserve">facilitated </w:t>
            </w:r>
          </w:p>
        </w:tc>
        <w:tc>
          <w:tcPr>
            <w:tcW w:w="3690" w:type="dxa"/>
          </w:tcPr>
          <w:p w:rsidR="0091597F" w:rsidRDefault="00497C42">
            <w:pPr>
              <w:pStyle w:val="ListParagraph"/>
              <w:numPr>
                <w:ilvl w:val="0"/>
                <w:numId w:val="6"/>
              </w:numPr>
            </w:pPr>
            <w:r>
              <w:t xml:space="preserve">One resort forum held in Upper North in Oct 2010 and market access secured from </w:t>
            </w:r>
            <w:r w:rsidR="002525F3">
              <w:t xml:space="preserve">some resorts for </w:t>
            </w:r>
            <w:r>
              <w:t>locally produced</w:t>
            </w:r>
            <w:r w:rsidR="002525F3">
              <w:t xml:space="preserve"> goods and services</w:t>
            </w:r>
          </w:p>
          <w:p w:rsidR="0091597F" w:rsidRDefault="002525F3">
            <w:pPr>
              <w:pStyle w:val="ListParagraph"/>
              <w:numPr>
                <w:ilvl w:val="0"/>
                <w:numId w:val="6"/>
              </w:numPr>
            </w:pPr>
            <w:r>
              <w:t>Partnerships facilitated between resorts and local small scale entrepreneurs</w:t>
            </w:r>
          </w:p>
        </w:tc>
        <w:tc>
          <w:tcPr>
            <w:tcW w:w="1782" w:type="dxa"/>
          </w:tcPr>
          <w:p w:rsidR="00D1620E" w:rsidRDefault="002525F3" w:rsidP="001E34D8">
            <w:pPr>
              <w:pStyle w:val="ListParagraph"/>
              <w:ind w:left="0"/>
            </w:pPr>
            <w:r>
              <w:t xml:space="preserve">-monitoring of the partnership and networking arrangements continues to be challenging. </w:t>
            </w:r>
          </w:p>
        </w:tc>
      </w:tr>
      <w:tr w:rsidR="00D1620E" w:rsidTr="00D1620E">
        <w:trPr>
          <w:trHeight w:val="135"/>
        </w:trPr>
        <w:tc>
          <w:tcPr>
            <w:tcW w:w="384" w:type="dxa"/>
          </w:tcPr>
          <w:p w:rsidR="00D1620E" w:rsidRDefault="00D1620E" w:rsidP="001E34D8">
            <w:pPr>
              <w:pStyle w:val="ListParagraph"/>
              <w:ind w:left="0"/>
            </w:pPr>
            <w:r>
              <w:t>5.</w:t>
            </w:r>
          </w:p>
        </w:tc>
        <w:tc>
          <w:tcPr>
            <w:tcW w:w="3414" w:type="dxa"/>
          </w:tcPr>
          <w:p w:rsidR="00D1620E" w:rsidRDefault="00D1620E" w:rsidP="001E34D8">
            <w:pPr>
              <w:pStyle w:val="ListParagraph"/>
              <w:ind w:left="0"/>
            </w:pPr>
          </w:p>
        </w:tc>
        <w:tc>
          <w:tcPr>
            <w:tcW w:w="3690" w:type="dxa"/>
          </w:tcPr>
          <w:p w:rsidR="00D1620E" w:rsidRDefault="00D1620E" w:rsidP="001E34D8">
            <w:pPr>
              <w:pStyle w:val="ListParagraph"/>
              <w:ind w:left="0"/>
            </w:pP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6.</w:t>
            </w:r>
          </w:p>
        </w:tc>
        <w:tc>
          <w:tcPr>
            <w:tcW w:w="3414" w:type="dxa"/>
          </w:tcPr>
          <w:p w:rsidR="00D1620E" w:rsidRDefault="00D1620E" w:rsidP="001E34D8">
            <w:pPr>
              <w:pStyle w:val="ListParagraph"/>
              <w:ind w:left="0"/>
            </w:pPr>
          </w:p>
        </w:tc>
        <w:tc>
          <w:tcPr>
            <w:tcW w:w="3690" w:type="dxa"/>
          </w:tcPr>
          <w:p w:rsidR="00D1620E" w:rsidRDefault="00D1620E" w:rsidP="001E34D8">
            <w:pPr>
              <w:pStyle w:val="ListParagraph"/>
              <w:ind w:left="0"/>
            </w:pPr>
          </w:p>
        </w:tc>
        <w:tc>
          <w:tcPr>
            <w:tcW w:w="1782" w:type="dxa"/>
          </w:tcPr>
          <w:p w:rsidR="00D1620E" w:rsidRDefault="00D1620E"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7.</w:t>
            </w:r>
          </w:p>
        </w:tc>
        <w:tc>
          <w:tcPr>
            <w:tcW w:w="3414" w:type="dxa"/>
          </w:tcPr>
          <w:p w:rsidR="00D1620E" w:rsidRDefault="00D1620E" w:rsidP="001E34D8">
            <w:pPr>
              <w:pStyle w:val="ListParagraph"/>
              <w:ind w:left="0"/>
            </w:pPr>
          </w:p>
        </w:tc>
        <w:tc>
          <w:tcPr>
            <w:tcW w:w="3690" w:type="dxa"/>
          </w:tcPr>
          <w:p w:rsidR="00D1620E" w:rsidRDefault="00D1620E" w:rsidP="001E34D8">
            <w:pPr>
              <w:pStyle w:val="ListParagraph"/>
              <w:ind w:left="0"/>
            </w:pPr>
          </w:p>
        </w:tc>
        <w:tc>
          <w:tcPr>
            <w:tcW w:w="1782" w:type="dxa"/>
          </w:tcPr>
          <w:p w:rsidR="00D1620E" w:rsidRDefault="00D1620E" w:rsidP="001E34D8">
            <w:pPr>
              <w:pStyle w:val="ListParagraph"/>
              <w:ind w:left="0"/>
            </w:pP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Tr="00D1620E">
        <w:trPr>
          <w:trHeight w:val="547"/>
        </w:trPr>
        <w:tc>
          <w:tcPr>
            <w:tcW w:w="3708" w:type="dxa"/>
            <w:gridSpan w:val="2"/>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D1620E">
        <w:trPr>
          <w:trHeight w:val="135"/>
        </w:trPr>
        <w:tc>
          <w:tcPr>
            <w:tcW w:w="384" w:type="dxa"/>
          </w:tcPr>
          <w:p w:rsidR="00692C45" w:rsidRDefault="00692C45" w:rsidP="001E34D8">
            <w:pPr>
              <w:pStyle w:val="ListParagraph"/>
              <w:ind w:left="0"/>
            </w:pPr>
            <w:r>
              <w:t>1.</w:t>
            </w:r>
          </w:p>
        </w:tc>
        <w:tc>
          <w:tcPr>
            <w:tcW w:w="3324" w:type="dxa"/>
          </w:tcPr>
          <w:p w:rsidR="00692C45" w:rsidRDefault="00010152" w:rsidP="001E34D8">
            <w:pPr>
              <w:pStyle w:val="ListParagraph"/>
              <w:ind w:left="0"/>
            </w:pPr>
            <w:r>
              <w:t>Ministry of Fisheries and Agriculture</w:t>
            </w:r>
          </w:p>
        </w:tc>
        <w:tc>
          <w:tcPr>
            <w:tcW w:w="2700" w:type="dxa"/>
          </w:tcPr>
          <w:p w:rsidR="00692C45" w:rsidRDefault="00010152" w:rsidP="001E34D8">
            <w:pPr>
              <w:pStyle w:val="ListParagraph"/>
              <w:ind w:left="0"/>
            </w:pPr>
            <w:r>
              <w:t>Providing technical and sector related advise</w:t>
            </w:r>
          </w:p>
        </w:tc>
        <w:tc>
          <w:tcPr>
            <w:tcW w:w="2862" w:type="dxa"/>
          </w:tcPr>
          <w:p w:rsidR="0091597F" w:rsidRDefault="002525F3">
            <w:pPr>
              <w:pStyle w:val="ListParagraph"/>
              <w:numPr>
                <w:ilvl w:val="0"/>
                <w:numId w:val="6"/>
              </w:numPr>
            </w:pPr>
            <w:r>
              <w:t>Priority sectors and loan criteria established jointly, closer co-ordination of sectoral policies achieved in improving access to finance for SMEs operating in the fish and agri-business sector</w:t>
            </w:r>
          </w:p>
        </w:tc>
      </w:tr>
      <w:tr w:rsidR="00692C45" w:rsidTr="00D1620E">
        <w:trPr>
          <w:trHeight w:val="135"/>
        </w:trPr>
        <w:tc>
          <w:tcPr>
            <w:tcW w:w="384" w:type="dxa"/>
          </w:tcPr>
          <w:p w:rsidR="00692C45" w:rsidRDefault="00692C45" w:rsidP="001E34D8">
            <w:pPr>
              <w:pStyle w:val="ListParagraph"/>
              <w:ind w:left="0"/>
            </w:pPr>
            <w:r>
              <w:t>2.</w:t>
            </w:r>
          </w:p>
        </w:tc>
        <w:tc>
          <w:tcPr>
            <w:tcW w:w="3324" w:type="dxa"/>
          </w:tcPr>
          <w:p w:rsidR="00692C45" w:rsidRDefault="00010152" w:rsidP="001E34D8">
            <w:pPr>
              <w:pStyle w:val="ListParagraph"/>
              <w:ind w:left="0"/>
            </w:pPr>
            <w:r>
              <w:t>Ministry of Tourism, Arts and Culture</w:t>
            </w:r>
          </w:p>
        </w:tc>
        <w:tc>
          <w:tcPr>
            <w:tcW w:w="2700" w:type="dxa"/>
          </w:tcPr>
          <w:p w:rsidR="00692C45" w:rsidRDefault="00010152" w:rsidP="001E34D8">
            <w:pPr>
              <w:pStyle w:val="ListParagraph"/>
              <w:ind w:left="0"/>
            </w:pPr>
            <w:r>
              <w:t>Providing technical and sector related advise</w:t>
            </w:r>
          </w:p>
        </w:tc>
        <w:tc>
          <w:tcPr>
            <w:tcW w:w="2862" w:type="dxa"/>
          </w:tcPr>
          <w:p w:rsidR="00692C45" w:rsidRDefault="002525F3" w:rsidP="002525F3">
            <w:pPr>
              <w:pStyle w:val="ListParagraph"/>
              <w:ind w:left="0"/>
            </w:pPr>
            <w:r>
              <w:t>Priority sectors and loan criteria established jointly, closer co-ordination of sectoral policies achieved in improving access to finance for SMEs operating in mid-range tourism and arts and crafts sector</w:t>
            </w:r>
          </w:p>
        </w:tc>
      </w:tr>
      <w:tr w:rsidR="00692C45" w:rsidTr="00D1620E">
        <w:trPr>
          <w:trHeight w:val="135"/>
        </w:trPr>
        <w:tc>
          <w:tcPr>
            <w:tcW w:w="384" w:type="dxa"/>
          </w:tcPr>
          <w:p w:rsidR="00692C45" w:rsidRDefault="00692C45" w:rsidP="001E34D8">
            <w:pPr>
              <w:pStyle w:val="ListParagraph"/>
              <w:ind w:left="0"/>
            </w:pPr>
            <w:r>
              <w:t>3.</w:t>
            </w:r>
          </w:p>
        </w:tc>
        <w:tc>
          <w:tcPr>
            <w:tcW w:w="3324" w:type="dxa"/>
          </w:tcPr>
          <w:p w:rsidR="00692C45" w:rsidRDefault="00010152" w:rsidP="001E34D8">
            <w:pPr>
              <w:pStyle w:val="ListParagraph"/>
              <w:ind w:left="0"/>
            </w:pPr>
            <w:r>
              <w:t>Ministry of Finance and Treasury</w:t>
            </w:r>
          </w:p>
        </w:tc>
        <w:tc>
          <w:tcPr>
            <w:tcW w:w="2700" w:type="dxa"/>
          </w:tcPr>
          <w:p w:rsidR="00692C45" w:rsidRDefault="00010152" w:rsidP="001E34D8">
            <w:pPr>
              <w:pStyle w:val="ListParagraph"/>
              <w:ind w:left="0"/>
            </w:pPr>
            <w:r>
              <w:t>Stream lining SME development Assistance</w:t>
            </w:r>
          </w:p>
        </w:tc>
        <w:tc>
          <w:tcPr>
            <w:tcW w:w="2862" w:type="dxa"/>
          </w:tcPr>
          <w:p w:rsidR="00692C45" w:rsidRDefault="00246840" w:rsidP="00246840">
            <w:pPr>
              <w:pStyle w:val="ListParagraph"/>
              <w:ind w:left="0"/>
            </w:pPr>
            <w:r>
              <w:t>Harmonization of donor support for SME development initiated and coordination among donors initiated</w:t>
            </w:r>
          </w:p>
        </w:tc>
      </w:tr>
      <w:tr w:rsidR="00692C45" w:rsidTr="00D1620E">
        <w:trPr>
          <w:trHeight w:val="135"/>
        </w:trPr>
        <w:tc>
          <w:tcPr>
            <w:tcW w:w="384" w:type="dxa"/>
          </w:tcPr>
          <w:p w:rsidR="00692C45" w:rsidRDefault="00692C45" w:rsidP="001E34D8">
            <w:pPr>
              <w:pStyle w:val="ListParagraph"/>
              <w:ind w:left="0"/>
            </w:pPr>
            <w:r>
              <w:t>4.</w:t>
            </w:r>
          </w:p>
        </w:tc>
        <w:tc>
          <w:tcPr>
            <w:tcW w:w="3324" w:type="dxa"/>
          </w:tcPr>
          <w:p w:rsidR="00692C45" w:rsidRDefault="00010152" w:rsidP="001E34D8">
            <w:pPr>
              <w:pStyle w:val="ListParagraph"/>
              <w:ind w:left="0"/>
            </w:pPr>
            <w:r>
              <w:t>Ministry of Health and Family</w:t>
            </w:r>
          </w:p>
        </w:tc>
        <w:tc>
          <w:tcPr>
            <w:tcW w:w="2700" w:type="dxa"/>
          </w:tcPr>
          <w:p w:rsidR="00692C45" w:rsidRDefault="00010152" w:rsidP="001E34D8">
            <w:pPr>
              <w:pStyle w:val="ListParagraph"/>
              <w:ind w:left="0"/>
            </w:pPr>
            <w:r>
              <w:t>Gender promotion and promotion women entrepreneurship</w:t>
            </w:r>
          </w:p>
        </w:tc>
        <w:tc>
          <w:tcPr>
            <w:tcW w:w="2862" w:type="dxa"/>
          </w:tcPr>
          <w:p w:rsidR="00692C45" w:rsidRDefault="00692C45" w:rsidP="001E34D8">
            <w:pPr>
              <w:pStyle w:val="ListParagraph"/>
              <w:ind w:left="0"/>
            </w:pPr>
          </w:p>
        </w:tc>
      </w:tr>
      <w:tr w:rsidR="00D1620E" w:rsidTr="00D1620E">
        <w:trPr>
          <w:trHeight w:val="135"/>
        </w:trPr>
        <w:tc>
          <w:tcPr>
            <w:tcW w:w="384" w:type="dxa"/>
          </w:tcPr>
          <w:p w:rsidR="00D1620E" w:rsidRDefault="00D1620E" w:rsidP="001E34D8">
            <w:pPr>
              <w:pStyle w:val="ListParagraph"/>
              <w:ind w:left="0"/>
            </w:pPr>
            <w:r>
              <w:t>5.</w:t>
            </w:r>
          </w:p>
        </w:tc>
        <w:tc>
          <w:tcPr>
            <w:tcW w:w="3324" w:type="dxa"/>
          </w:tcPr>
          <w:p w:rsidR="00D1620E" w:rsidRDefault="00010152" w:rsidP="001E34D8">
            <w:pPr>
              <w:pStyle w:val="ListParagraph"/>
              <w:ind w:left="0"/>
            </w:pPr>
            <w:r>
              <w:t>Bank of Maldives</w:t>
            </w:r>
          </w:p>
        </w:tc>
        <w:tc>
          <w:tcPr>
            <w:tcW w:w="2700" w:type="dxa"/>
          </w:tcPr>
          <w:p w:rsidR="00D1620E" w:rsidRDefault="00010152" w:rsidP="001E34D8">
            <w:pPr>
              <w:pStyle w:val="ListParagraph"/>
              <w:ind w:left="0"/>
            </w:pPr>
            <w:r>
              <w:t>Fund management and technical advise</w:t>
            </w:r>
          </w:p>
        </w:tc>
        <w:tc>
          <w:tcPr>
            <w:tcW w:w="2862" w:type="dxa"/>
          </w:tcPr>
          <w:p w:rsidR="00D1620E" w:rsidRDefault="00246840" w:rsidP="001E34D8">
            <w:pPr>
              <w:pStyle w:val="ListParagraph"/>
              <w:ind w:left="0"/>
            </w:pPr>
            <w:r>
              <w:t xml:space="preserve">Closer co-ordination achieved in the </w:t>
            </w:r>
            <w:r>
              <w:lastRenderedPageBreak/>
              <w:t xml:space="preserve">implementation of the loan program </w:t>
            </w:r>
          </w:p>
        </w:tc>
      </w:tr>
      <w:tr w:rsidR="00010152" w:rsidTr="00D1620E">
        <w:trPr>
          <w:trHeight w:val="135"/>
        </w:trPr>
        <w:tc>
          <w:tcPr>
            <w:tcW w:w="384" w:type="dxa"/>
          </w:tcPr>
          <w:p w:rsidR="00010152" w:rsidRDefault="00010152" w:rsidP="001E34D8">
            <w:pPr>
              <w:pStyle w:val="ListParagraph"/>
              <w:ind w:left="0"/>
            </w:pPr>
            <w:r>
              <w:lastRenderedPageBreak/>
              <w:t>6.</w:t>
            </w:r>
          </w:p>
        </w:tc>
        <w:tc>
          <w:tcPr>
            <w:tcW w:w="3324" w:type="dxa"/>
          </w:tcPr>
          <w:p w:rsidR="00010152" w:rsidRDefault="00010152" w:rsidP="001E34D8">
            <w:pPr>
              <w:pStyle w:val="ListParagraph"/>
              <w:ind w:left="0"/>
            </w:pPr>
            <w:r>
              <w:t>UNDP</w:t>
            </w:r>
          </w:p>
        </w:tc>
        <w:tc>
          <w:tcPr>
            <w:tcW w:w="2700" w:type="dxa"/>
          </w:tcPr>
          <w:p w:rsidR="00010152" w:rsidRDefault="00146999" w:rsidP="001E34D8">
            <w:pPr>
              <w:pStyle w:val="ListParagraph"/>
              <w:ind w:left="0"/>
            </w:pPr>
            <w:r>
              <w:t>Providing financial and implementing assistance</w:t>
            </w:r>
          </w:p>
        </w:tc>
        <w:tc>
          <w:tcPr>
            <w:tcW w:w="2862" w:type="dxa"/>
          </w:tcPr>
          <w:p w:rsidR="00010152" w:rsidRDefault="00246840" w:rsidP="006D4006">
            <w:pPr>
              <w:pStyle w:val="ListParagraph"/>
              <w:ind w:left="0"/>
            </w:pPr>
            <w:r>
              <w:t xml:space="preserve">Strong partnership established with </w:t>
            </w:r>
            <w:r w:rsidR="006D4006">
              <w:t xml:space="preserve">similar </w:t>
            </w:r>
            <w:r>
              <w:t>UNDP su</w:t>
            </w:r>
            <w:r w:rsidR="006D4006">
              <w:t xml:space="preserve">pported programs and co-ordination achieved in implementing complementary activities </w:t>
            </w:r>
          </w:p>
        </w:tc>
      </w:tr>
      <w:tr w:rsidR="005A30C4" w:rsidTr="00D1620E">
        <w:trPr>
          <w:trHeight w:val="135"/>
        </w:trPr>
        <w:tc>
          <w:tcPr>
            <w:tcW w:w="384" w:type="dxa"/>
          </w:tcPr>
          <w:p w:rsidR="005A30C4" w:rsidRDefault="005A30C4" w:rsidP="001E34D8">
            <w:pPr>
              <w:pStyle w:val="ListParagraph"/>
              <w:ind w:left="0"/>
            </w:pPr>
            <w:r>
              <w:t>7</w:t>
            </w:r>
          </w:p>
        </w:tc>
        <w:tc>
          <w:tcPr>
            <w:tcW w:w="3324" w:type="dxa"/>
          </w:tcPr>
          <w:p w:rsidR="005A30C4" w:rsidRDefault="005A30C4" w:rsidP="001E34D8">
            <w:pPr>
              <w:pStyle w:val="ListParagraph"/>
              <w:ind w:left="0"/>
            </w:pPr>
            <w:r>
              <w:t>ADB</w:t>
            </w:r>
          </w:p>
        </w:tc>
        <w:tc>
          <w:tcPr>
            <w:tcW w:w="2700" w:type="dxa"/>
          </w:tcPr>
          <w:p w:rsidR="005A30C4" w:rsidRDefault="005A30C4" w:rsidP="001E34D8">
            <w:pPr>
              <w:pStyle w:val="ListParagraph"/>
              <w:ind w:left="0"/>
            </w:pPr>
            <w:r>
              <w:t>Financial and technical assistance for improving access to financing</w:t>
            </w:r>
            <w:r w:rsidR="006D4006">
              <w:t xml:space="preserve"> and setting up the institutional structure to support roll out government’s SME </w:t>
            </w:r>
            <w:proofErr w:type="spellStart"/>
            <w:r w:rsidR="006D4006">
              <w:t>prog</w:t>
            </w:r>
            <w:proofErr w:type="spellEnd"/>
            <w:r w:rsidR="006D4006">
              <w:t>.</w:t>
            </w:r>
          </w:p>
        </w:tc>
        <w:tc>
          <w:tcPr>
            <w:tcW w:w="2862" w:type="dxa"/>
          </w:tcPr>
          <w:p w:rsidR="005A30C4" w:rsidRDefault="006D4006" w:rsidP="001E34D8">
            <w:pPr>
              <w:pStyle w:val="ListParagraph"/>
              <w:ind w:left="0"/>
            </w:pPr>
            <w:r>
              <w:t xml:space="preserve">Close working ties established, and </w:t>
            </w:r>
            <w:r w:rsidR="00A33181">
              <w:t>extensive technical support secured to develop additional aspects that will augment the institutional mechanism to deliver SME development and support services</w:t>
            </w:r>
            <w:r>
              <w:t xml:space="preserve"> </w:t>
            </w: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7122D6" w:rsidRPr="0052600C" w:rsidRDefault="0052600C" w:rsidP="004F35BE">
            <w:pPr>
              <w:rPr>
                <w:bCs/>
              </w:rPr>
            </w:pPr>
            <w:r>
              <w:rPr>
                <w:bCs/>
              </w:rPr>
              <w:t xml:space="preserve">Significant progress has been </w:t>
            </w:r>
            <w:r w:rsidR="002525F3">
              <w:rPr>
                <w:bCs/>
              </w:rPr>
              <w:t xml:space="preserve">achieved </w:t>
            </w:r>
            <w:r>
              <w:rPr>
                <w:bCs/>
              </w:rPr>
              <w:t>on implementation of some of the activities including development of SME legislation, establishment of SME Development Council, providing low cost financial schemes for SMEs, increased participation of women entrepreneur</w:t>
            </w:r>
            <w:r w:rsidR="002525F3">
              <w:rPr>
                <w:bCs/>
              </w:rPr>
              <w:t>s</w:t>
            </w:r>
            <w:r>
              <w:rPr>
                <w:bCs/>
              </w:rPr>
              <w:t xml:space="preserve"> in entrepreneurial training and establishment of </w:t>
            </w:r>
            <w:r w:rsidR="002525F3">
              <w:rPr>
                <w:bCs/>
              </w:rPr>
              <w:t>b</w:t>
            </w:r>
            <w:r>
              <w:rPr>
                <w:bCs/>
              </w:rPr>
              <w:t xml:space="preserve">usiness </w:t>
            </w:r>
            <w:r w:rsidR="002525F3">
              <w:rPr>
                <w:bCs/>
              </w:rPr>
              <w:t>d</w:t>
            </w:r>
            <w:r>
              <w:rPr>
                <w:bCs/>
              </w:rPr>
              <w:t xml:space="preserve">evelopment </w:t>
            </w:r>
            <w:r w:rsidR="002525F3">
              <w:rPr>
                <w:bCs/>
              </w:rPr>
              <w:t>support s</w:t>
            </w:r>
            <w:r>
              <w:rPr>
                <w:bCs/>
              </w:rPr>
              <w:t xml:space="preserve">ervices in provinces. However, </w:t>
            </w:r>
            <w:r w:rsidR="004F35BE">
              <w:rPr>
                <w:bCs/>
              </w:rPr>
              <w:t xml:space="preserve">work needs to be further carried out to institutionalize and strengthen access to financial services </w:t>
            </w:r>
            <w:proofErr w:type="gramStart"/>
            <w:r w:rsidR="004F35BE">
              <w:rPr>
                <w:bCs/>
              </w:rPr>
              <w:t xml:space="preserve">including </w:t>
            </w:r>
            <w:r>
              <w:rPr>
                <w:bCs/>
              </w:rPr>
              <w:t xml:space="preserve"> banking</w:t>
            </w:r>
            <w:proofErr w:type="gramEnd"/>
            <w:r>
              <w:rPr>
                <w:bCs/>
              </w:rPr>
              <w:t>, insurance</w:t>
            </w:r>
            <w:r w:rsidR="004F35BE">
              <w:rPr>
                <w:bCs/>
              </w:rPr>
              <w:t xml:space="preserve">, accounting </w:t>
            </w:r>
            <w:r>
              <w:rPr>
                <w:bCs/>
              </w:rPr>
              <w:t xml:space="preserve"> and auditing services in the provinces</w:t>
            </w:r>
            <w:r w:rsidR="004F35BE">
              <w:rPr>
                <w:bCs/>
              </w:rPr>
              <w:t>.</w:t>
            </w:r>
            <w:r>
              <w:rPr>
                <w:bCs/>
              </w:rPr>
              <w:t>.</w:t>
            </w:r>
            <w:r w:rsidR="004F35BE">
              <w:rPr>
                <w:bCs/>
              </w:rPr>
              <w:t xml:space="preserve"> In addition specialized trainings needs to be provided to SMEs to further augment their capacity and know-how of doing business in a modern business environment.</w:t>
            </w:r>
            <w:r>
              <w:rPr>
                <w:bCs/>
              </w:rPr>
              <w:t xml:space="preserve"> </w:t>
            </w:r>
          </w:p>
        </w:tc>
      </w:tr>
      <w:tr w:rsidR="007122D6" w:rsidTr="00D00264">
        <w:trPr>
          <w:trHeight w:val="308"/>
        </w:trPr>
        <w:tc>
          <w:tcPr>
            <w:tcW w:w="9315" w:type="dxa"/>
          </w:tcPr>
          <w:p w:rsidR="007122D6" w:rsidRDefault="007122D6" w:rsidP="007122D6">
            <w:r w:rsidRPr="007122D6">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7122D6" w:rsidRPr="003E6E09" w:rsidRDefault="003E6E09" w:rsidP="007122D6">
            <w:pPr>
              <w:rPr>
                <w:bCs/>
              </w:rPr>
            </w:pPr>
            <w:r>
              <w:rPr>
                <w:bCs/>
              </w:rPr>
              <w:t xml:space="preserve">Main sources of funds for the SME development activities under SAP come from Government budget, UNDP, ADB loan assistance, Kuwait Fund grant assistance, JSDF. The </w:t>
            </w:r>
            <w:proofErr w:type="gramStart"/>
            <w:r>
              <w:rPr>
                <w:bCs/>
              </w:rPr>
              <w:t>fund allocated from above sources have</w:t>
            </w:r>
            <w:proofErr w:type="gramEnd"/>
            <w:r>
              <w:rPr>
                <w:bCs/>
              </w:rPr>
              <w:t xml:space="preserve"> been fully utilized. </w:t>
            </w: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proofErr w:type="gramStart"/>
            <w:r w:rsidR="002C0834">
              <w:rPr>
                <w:b/>
                <w:i/>
                <w:sz w:val="18"/>
                <w:szCs w:val="18"/>
              </w:rPr>
              <w:t>were  expected</w:t>
            </w:r>
            <w:proofErr w:type="gramEnd"/>
            <w:r w:rsidR="002C0834">
              <w:rPr>
                <w:b/>
                <w:i/>
                <w:sz w:val="18"/>
                <w:szCs w:val="18"/>
              </w:rPr>
              <w:t xml:space="preserve"> to be developed during the  implementation, to what extent were they achieved. If not what were the main causes</w:t>
            </w:r>
            <w:r w:rsidR="0007674A">
              <w:rPr>
                <w:b/>
                <w:i/>
                <w:sz w:val="18"/>
                <w:szCs w:val="18"/>
              </w:rPr>
              <w:t xml:space="preserve"> and what was </w:t>
            </w:r>
            <w:proofErr w:type="gramStart"/>
            <w:r w:rsidR="0007674A">
              <w:rPr>
                <w:b/>
                <w:i/>
                <w:sz w:val="18"/>
                <w:szCs w:val="18"/>
              </w:rPr>
              <w:t>the  affect</w:t>
            </w:r>
            <w:proofErr w:type="gramEnd"/>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7122D6" w:rsidRPr="0052600C" w:rsidRDefault="0052600C" w:rsidP="004F35BE">
            <w:pPr>
              <w:rPr>
                <w:bCs/>
              </w:rPr>
            </w:pPr>
            <w:r>
              <w:rPr>
                <w:bCs/>
              </w:rPr>
              <w:t xml:space="preserve">MED has strengthened its linkages </w:t>
            </w:r>
            <w:r w:rsidR="003E6E09">
              <w:rPr>
                <w:bCs/>
              </w:rPr>
              <w:t xml:space="preserve">and partnership </w:t>
            </w:r>
            <w:r>
              <w:rPr>
                <w:bCs/>
              </w:rPr>
              <w:t>with other stake holders in the areas of SME Development</w:t>
            </w:r>
            <w:r w:rsidR="004F35BE">
              <w:rPr>
                <w:bCs/>
              </w:rPr>
              <w:t>, both at the public and private sector level</w:t>
            </w:r>
            <w:r>
              <w:rPr>
                <w:bCs/>
              </w:rPr>
              <w:t>.</w:t>
            </w:r>
            <w:ins w:id="1" w:author="Valued Acer Customer" w:date="2011-05-17T22:40:00Z">
              <w:r w:rsidR="004F35BE">
                <w:rPr>
                  <w:bCs/>
                </w:rPr>
                <w:t xml:space="preserve"> </w:t>
              </w:r>
            </w:ins>
            <w:r>
              <w:rPr>
                <w:bCs/>
              </w:rPr>
              <w:t xml:space="preserve"> Most of them also represent in the SME Development Council that oversee the SME Development program of MED. Several discussions were held with Ministry of Fisheries and Agriculture, Ministry of Tourism, Arts and Culture, Ministry of Health and Family, </w:t>
            </w:r>
            <w:r w:rsidR="00843719">
              <w:rPr>
                <w:bCs/>
              </w:rPr>
              <w:t xml:space="preserve">Ministry of Finance and Treasury, Ministry of Human Resource Youth and Sports and UNDP and Bank of Maldives. </w:t>
            </w:r>
            <w:r w:rsidR="004F35BE">
              <w:rPr>
                <w:bCs/>
              </w:rPr>
              <w:t xml:space="preserve">Close working ties are established with the National Chamber of Commerce and Industries and the Women Entrepreneur Association and other related industry associations. Closer working ties has been established and coordination initiated with donors to harmonize support to SME development and includes donors such as ADB, UNDP, Kuwait Fund, IDB and IFAD </w:t>
            </w:r>
          </w:p>
        </w:tc>
      </w:tr>
      <w:tr w:rsidR="007122D6" w:rsidTr="00D00264">
        <w:trPr>
          <w:trHeight w:val="398"/>
        </w:trPr>
        <w:tc>
          <w:tcPr>
            <w:tcW w:w="9315" w:type="dxa"/>
          </w:tcPr>
          <w:p w:rsidR="007122D6" w:rsidRDefault="002C0834" w:rsidP="007122D6">
            <w:r w:rsidRPr="002C0834">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2C0834" w:rsidRDefault="00843719" w:rsidP="00D964E7">
            <w:r>
              <w:lastRenderedPageBreak/>
              <w:t xml:space="preserve">Establishment of BDSC, and Cost Sharing </w:t>
            </w:r>
            <w:proofErr w:type="spellStart"/>
            <w:r>
              <w:t>Facilty</w:t>
            </w:r>
            <w:proofErr w:type="spellEnd"/>
            <w:r>
              <w:t xml:space="preserve"> have been recently started and they may require</w:t>
            </w:r>
            <w:del w:id="2" w:author="Valued Acer Customer" w:date="2011-05-17T22:45:00Z">
              <w:r w:rsidDel="00D964E7">
                <w:delText>d</w:delText>
              </w:r>
            </w:del>
            <w:r>
              <w:t xml:space="preserve"> government support to finance their activities during their initial years of operation until they are turned into a market driven services in the future. </w:t>
            </w:r>
            <w:r w:rsidR="00D964E7">
              <w:t xml:space="preserve">The initial budgetary support is required to ensure to institutionalization of the support and administrative services prior to letting it open for market forces. In addition, the provision of demand driven services will ensure provision of support services at market rate or with less budgetary support.  </w:t>
            </w:r>
          </w:p>
          <w:p w:rsidR="00D964E7" w:rsidRPr="00843719" w:rsidRDefault="00D964E7" w:rsidP="00D964E7">
            <w:pPr>
              <w:rPr>
                <w:bCs/>
              </w:rPr>
            </w:pPr>
            <w:r>
              <w:t>Sustainability of the program also depends on improving access to finance from the exiting local banks and introduction of financial products and schemes to support incremental lending from SMEs.</w:t>
            </w: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05451C" w:rsidRDefault="0005451C" w:rsidP="008526AE"/>
          <w:p w:rsidR="0005451C" w:rsidRDefault="0005451C" w:rsidP="008526AE"/>
          <w:p w:rsidR="0005451C" w:rsidRDefault="0005451C" w:rsidP="008526AE"/>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Default="00E150E9" w:rsidP="001E34D8"/>
          <w:p w:rsidR="00E150E9" w:rsidRDefault="00E150E9" w:rsidP="001E34D8"/>
          <w:p w:rsidR="0091597F" w:rsidRDefault="00D964E7">
            <w:pPr>
              <w:pStyle w:val="ListParagraph"/>
              <w:numPr>
                <w:ilvl w:val="0"/>
                <w:numId w:val="6"/>
              </w:numPr>
            </w:pPr>
            <w:r>
              <w:t xml:space="preserve">Limited HR capacity to implement a full blown SME program that encompasses from support services to full fledge monitoring and evaluation. The capacity of Enterprise Development Unit and BDSCs needs to be further augmented to address existing gaps in implementation, particularly to undertake monitoring of loan schemes and impact assessments of training programs and support services.  </w:t>
            </w: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150E9" w:rsidRDefault="00E150E9" w:rsidP="001E34D8"/>
          <w:p w:rsidR="00C104D4" w:rsidRDefault="00C104D4" w:rsidP="001E34D8"/>
          <w:p w:rsidR="0091597F" w:rsidRDefault="00246840">
            <w:pPr>
              <w:pStyle w:val="ListParagraph"/>
              <w:numPr>
                <w:ilvl w:val="0"/>
                <w:numId w:val="6"/>
              </w:numPr>
            </w:pPr>
            <w:r>
              <w:t>Building trust and confidence on the process utilized in the a</w:t>
            </w:r>
            <w:r w:rsidR="00D964E7">
              <w:t>llocation of loan</w:t>
            </w:r>
            <w:r>
              <w:t xml:space="preserve">s as often it is subjected to criticism  from public </w:t>
            </w:r>
          </w:p>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E150E9" w:rsidRDefault="00E150E9" w:rsidP="001E34D8"/>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Pr="00843719" w:rsidRDefault="00843719" w:rsidP="001E34D8">
            <w:pPr>
              <w:rPr>
                <w:iCs/>
              </w:rPr>
            </w:pPr>
            <w:r>
              <w:rPr>
                <w:iCs/>
              </w:rPr>
              <w:t xml:space="preserve">A greater focus has been given to promote gender, including promoting women entrepreneurship and youth participation at economic activities. 40 % of the total funds for loan programs have been earmarked for women. </w:t>
            </w:r>
          </w:p>
          <w:p w:rsidR="00D378A4" w:rsidRDefault="00D378A4" w:rsidP="001E34D8">
            <w:pPr>
              <w:rPr>
                <w:i/>
              </w:rPr>
            </w:pPr>
          </w:p>
        </w:tc>
      </w:tr>
      <w:tr w:rsidR="00E150E9" w:rsidTr="00D378A4">
        <w:trPr>
          <w:trHeight w:val="289"/>
        </w:trPr>
        <w:tc>
          <w:tcPr>
            <w:tcW w:w="9348" w:type="dxa"/>
          </w:tcPr>
          <w:p w:rsidR="00E150E9" w:rsidRDefault="001E34D8" w:rsidP="006A11B1">
            <w:r>
              <w:lastRenderedPageBreak/>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Default="00D378A4" w:rsidP="001E34D8"/>
          <w:p w:rsidR="00D378A4" w:rsidRDefault="00D378A4" w:rsidP="001E34D8"/>
          <w:p w:rsidR="00D378A4" w:rsidRDefault="00246840" w:rsidP="001E34D8">
            <w:r>
              <w:t>SME registration process initiated in last quarter of 2010 will enable collection of information and data on many SMEs that are operating in the informal sector.</w:t>
            </w:r>
          </w:p>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692C45">
        <w:trPr>
          <w:trHeight w:val="3299"/>
        </w:trPr>
        <w:tc>
          <w:tcPr>
            <w:tcW w:w="9300" w:type="dxa"/>
          </w:tcPr>
          <w:p w:rsidR="008241F2" w:rsidRDefault="00843719" w:rsidP="008526AE">
            <w:r>
              <w:t>Many activities related directly to the lead agency</w:t>
            </w:r>
            <w:r w:rsidR="0076756F">
              <w:t>,</w:t>
            </w:r>
            <w:r>
              <w:t xml:space="preserve"> MED are progressing at an acceptable rate. However some of the activities related to other stake holders are not progressing well. </w:t>
            </w:r>
          </w:p>
          <w:p w:rsidR="008241F2" w:rsidRDefault="003E6E09" w:rsidP="00246840">
            <w:r>
              <w:t>In order to maintain a speedy progress in all activities under SAP, t</w:t>
            </w:r>
            <w:r w:rsidR="0076756F">
              <w:t>he lead agency needs to develop relationship with other agencies and obtain their support in achieving target</w:t>
            </w:r>
            <w:r>
              <w:t>s</w:t>
            </w:r>
            <w:r w:rsidR="0076756F">
              <w:t xml:space="preserve"> related to </w:t>
            </w:r>
            <w:r w:rsidR="00246840">
              <w:t xml:space="preserve">improving access for </w:t>
            </w:r>
            <w:r w:rsidR="0076756F">
              <w:t xml:space="preserve"> banking , insurance</w:t>
            </w:r>
            <w:r w:rsidR="00246840">
              <w:t xml:space="preserve">, accounting </w:t>
            </w:r>
            <w:r w:rsidR="0076756F">
              <w:t xml:space="preserve">, auditing services and increasing exports through SMEs. </w:t>
            </w:r>
          </w:p>
          <w:p w:rsidR="008241F2" w:rsidRDefault="008241F2" w:rsidP="008526AE"/>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1209FA" w:rsidRDefault="001209FA" w:rsidP="001209FA">
            <w:r>
              <w:lastRenderedPageBreak/>
              <w:t xml:space="preserve">MED is implementing some of the activities with financial assistance from UNDP, ADB and Kuwait Fund. </w:t>
            </w:r>
            <w:r w:rsidR="0076756F">
              <w:t xml:space="preserve">Several consultative </w:t>
            </w:r>
            <w:r w:rsidR="00CC5F2F">
              <w:t>discussions</w:t>
            </w:r>
            <w:r w:rsidR="0076756F">
              <w:t xml:space="preserve"> were held with Women Entrepreneurs Associations and MNCCI. </w:t>
            </w:r>
          </w:p>
          <w:p w:rsidR="00B55258" w:rsidRDefault="00B55258" w:rsidP="001209FA">
            <w:r>
              <w:t xml:space="preserve">Negotiations are currently going on with IDB and IFAD seeking assistance to implement SME development activities. </w:t>
            </w:r>
          </w:p>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5D6EEC" w:rsidRDefault="005D6EEC" w:rsidP="00C104D4"/>
    <w:p w:rsidR="0007674A" w:rsidRDefault="0007674A" w:rsidP="00C104D4"/>
    <w:p w:rsidR="0007674A" w:rsidRDefault="0007674A" w:rsidP="00C104D4"/>
    <w:p w:rsidR="0007674A" w:rsidRDefault="0007674A"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07674A" w:rsidRDefault="0007674A" w:rsidP="001E34D8"/>
          <w:p w:rsidR="0007674A" w:rsidRDefault="0007674A" w:rsidP="001E34D8"/>
          <w:p w:rsidR="0007674A" w:rsidRDefault="0007674A" w:rsidP="001E34D8"/>
          <w:p w:rsidR="0007674A" w:rsidRDefault="0007674A" w:rsidP="001E34D8"/>
          <w:p w:rsidR="0091597F" w:rsidRDefault="00246840">
            <w:pPr>
              <w:pStyle w:val="ListParagraph"/>
              <w:numPr>
                <w:ilvl w:val="0"/>
                <w:numId w:val="6"/>
              </w:numPr>
            </w:pPr>
            <w:r>
              <w:t>Closer monitoring of the loan programs and impact assessments to ensure effectiveness of support services</w:t>
            </w:r>
          </w:p>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p>
    <w:p w:rsidR="00196C12" w:rsidRDefault="00196C12" w:rsidP="00C104D4">
      <w:r>
        <w:t xml:space="preserve">Name of </w:t>
      </w:r>
      <w:proofErr w:type="gramStart"/>
      <w:r>
        <w:t>Officer  :</w:t>
      </w:r>
      <w:proofErr w:type="gramEnd"/>
      <w:r>
        <w:t xml:space="preserve"> </w:t>
      </w:r>
    </w:p>
    <w:p w:rsidR="00196C12" w:rsidRDefault="00196C12" w:rsidP="00C104D4">
      <w:proofErr w:type="gramStart"/>
      <w:r>
        <w:t>Designation :</w:t>
      </w:r>
      <w:proofErr w:type="gramEnd"/>
      <w:r>
        <w:t xml:space="preserve"> </w:t>
      </w:r>
    </w:p>
    <w:sectPr w:rsidR="00196C12"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5F2F" w:rsidRDefault="00CC5F2F" w:rsidP="00377AA4">
      <w:pPr>
        <w:spacing w:after="0" w:line="240" w:lineRule="auto"/>
      </w:pPr>
      <w:r>
        <w:separator/>
      </w:r>
    </w:p>
  </w:endnote>
  <w:endnote w:type="continuationSeparator" w:id="1">
    <w:p w:rsidR="00CC5F2F" w:rsidRDefault="00CC5F2F"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5F2F" w:rsidRDefault="00CC5F2F" w:rsidP="00377AA4">
      <w:pPr>
        <w:spacing w:after="0" w:line="240" w:lineRule="auto"/>
      </w:pPr>
      <w:r>
        <w:separator/>
      </w:r>
    </w:p>
  </w:footnote>
  <w:footnote w:type="continuationSeparator" w:id="1">
    <w:p w:rsidR="00CC5F2F" w:rsidRDefault="00CC5F2F"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420EE"/>
    <w:multiLevelType w:val="hybridMultilevel"/>
    <w:tmpl w:val="6CA69C8C"/>
    <w:lvl w:ilvl="0" w:tplc="5160257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2">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trackRevisions/>
  <w:defaultTabStop w:val="720"/>
  <w:characterSpacingControl w:val="doNotCompress"/>
  <w:footnotePr>
    <w:footnote w:id="0"/>
    <w:footnote w:id="1"/>
  </w:footnotePr>
  <w:endnotePr>
    <w:endnote w:id="0"/>
    <w:endnote w:id="1"/>
  </w:endnotePr>
  <w:compat/>
  <w:rsids>
    <w:rsidRoot w:val="005F2121"/>
    <w:rsid w:val="00010152"/>
    <w:rsid w:val="000205E3"/>
    <w:rsid w:val="000533BD"/>
    <w:rsid w:val="0005451C"/>
    <w:rsid w:val="00056335"/>
    <w:rsid w:val="0006223D"/>
    <w:rsid w:val="0007674A"/>
    <w:rsid w:val="00081843"/>
    <w:rsid w:val="00092352"/>
    <w:rsid w:val="000A4113"/>
    <w:rsid w:val="001209FA"/>
    <w:rsid w:val="00123ADC"/>
    <w:rsid w:val="001449F9"/>
    <w:rsid w:val="00146999"/>
    <w:rsid w:val="00172CBF"/>
    <w:rsid w:val="00196C12"/>
    <w:rsid w:val="001D681F"/>
    <w:rsid w:val="001E34D8"/>
    <w:rsid w:val="001E74DE"/>
    <w:rsid w:val="00221E1A"/>
    <w:rsid w:val="002242EF"/>
    <w:rsid w:val="00246840"/>
    <w:rsid w:val="002525F3"/>
    <w:rsid w:val="002B0B5F"/>
    <w:rsid w:val="002B2C00"/>
    <w:rsid w:val="002C0834"/>
    <w:rsid w:val="002C50B2"/>
    <w:rsid w:val="002D3E18"/>
    <w:rsid w:val="003123D0"/>
    <w:rsid w:val="0033269B"/>
    <w:rsid w:val="003537D9"/>
    <w:rsid w:val="00377AA4"/>
    <w:rsid w:val="003E06AC"/>
    <w:rsid w:val="003E6E09"/>
    <w:rsid w:val="00415D0F"/>
    <w:rsid w:val="00480CD4"/>
    <w:rsid w:val="004963F6"/>
    <w:rsid w:val="00497C42"/>
    <w:rsid w:val="004C03C0"/>
    <w:rsid w:val="004F35BE"/>
    <w:rsid w:val="005206DE"/>
    <w:rsid w:val="0052600C"/>
    <w:rsid w:val="005756E0"/>
    <w:rsid w:val="0059796B"/>
    <w:rsid w:val="005A30C4"/>
    <w:rsid w:val="005A38FB"/>
    <w:rsid w:val="005D22ED"/>
    <w:rsid w:val="005D3B92"/>
    <w:rsid w:val="005D6EEC"/>
    <w:rsid w:val="005D7D52"/>
    <w:rsid w:val="005F2121"/>
    <w:rsid w:val="006112EC"/>
    <w:rsid w:val="0061189E"/>
    <w:rsid w:val="00645B9C"/>
    <w:rsid w:val="00654E2F"/>
    <w:rsid w:val="006646CD"/>
    <w:rsid w:val="00691319"/>
    <w:rsid w:val="00692C45"/>
    <w:rsid w:val="006966EF"/>
    <w:rsid w:val="006A11B1"/>
    <w:rsid w:val="006D4006"/>
    <w:rsid w:val="007122D6"/>
    <w:rsid w:val="0074509C"/>
    <w:rsid w:val="007536C1"/>
    <w:rsid w:val="0076756F"/>
    <w:rsid w:val="007809C6"/>
    <w:rsid w:val="007A2C46"/>
    <w:rsid w:val="007C4072"/>
    <w:rsid w:val="007E516D"/>
    <w:rsid w:val="007F48DD"/>
    <w:rsid w:val="008241F2"/>
    <w:rsid w:val="0083030F"/>
    <w:rsid w:val="00843719"/>
    <w:rsid w:val="008526AE"/>
    <w:rsid w:val="00864C9C"/>
    <w:rsid w:val="00870B22"/>
    <w:rsid w:val="008D044B"/>
    <w:rsid w:val="008F1E1B"/>
    <w:rsid w:val="0091597F"/>
    <w:rsid w:val="00930643"/>
    <w:rsid w:val="00953806"/>
    <w:rsid w:val="00996883"/>
    <w:rsid w:val="009A1417"/>
    <w:rsid w:val="009F666C"/>
    <w:rsid w:val="00A33181"/>
    <w:rsid w:val="00A8036E"/>
    <w:rsid w:val="00A97BF5"/>
    <w:rsid w:val="00AE7E9B"/>
    <w:rsid w:val="00AF3F5C"/>
    <w:rsid w:val="00B06B4C"/>
    <w:rsid w:val="00B10645"/>
    <w:rsid w:val="00B373FA"/>
    <w:rsid w:val="00B55258"/>
    <w:rsid w:val="00B7009A"/>
    <w:rsid w:val="00B713D9"/>
    <w:rsid w:val="00BA2911"/>
    <w:rsid w:val="00BC1AD9"/>
    <w:rsid w:val="00BC3ACF"/>
    <w:rsid w:val="00BE230F"/>
    <w:rsid w:val="00C104D4"/>
    <w:rsid w:val="00C506D8"/>
    <w:rsid w:val="00C91717"/>
    <w:rsid w:val="00C975CA"/>
    <w:rsid w:val="00CB4769"/>
    <w:rsid w:val="00CC5F2F"/>
    <w:rsid w:val="00CE4995"/>
    <w:rsid w:val="00D00264"/>
    <w:rsid w:val="00D1620E"/>
    <w:rsid w:val="00D17BE4"/>
    <w:rsid w:val="00D33A5E"/>
    <w:rsid w:val="00D378A4"/>
    <w:rsid w:val="00D655B3"/>
    <w:rsid w:val="00D964E7"/>
    <w:rsid w:val="00DA4168"/>
    <w:rsid w:val="00DB3054"/>
    <w:rsid w:val="00E150E9"/>
    <w:rsid w:val="00E23BFD"/>
    <w:rsid w:val="00E25A44"/>
    <w:rsid w:val="00E41267"/>
    <w:rsid w:val="00E44888"/>
    <w:rsid w:val="00EA77CC"/>
    <w:rsid w:val="00EA7CA9"/>
    <w:rsid w:val="00EE0D84"/>
    <w:rsid w:val="00F668F1"/>
    <w:rsid w:val="00F70970"/>
    <w:rsid w:val="00F97AC5"/>
    <w:rsid w:val="00FA102A"/>
    <w:rsid w:val="00FB09CB"/>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styleId="CommentReference">
    <w:name w:val="annotation reference"/>
    <w:basedOn w:val="DefaultParagraphFont"/>
    <w:uiPriority w:val="99"/>
    <w:semiHidden/>
    <w:unhideWhenUsed/>
    <w:rsid w:val="004F35BE"/>
    <w:rPr>
      <w:sz w:val="16"/>
      <w:szCs w:val="16"/>
    </w:rPr>
  </w:style>
  <w:style w:type="paragraph" w:styleId="CommentText">
    <w:name w:val="annotation text"/>
    <w:basedOn w:val="Normal"/>
    <w:link w:val="CommentTextChar"/>
    <w:uiPriority w:val="99"/>
    <w:semiHidden/>
    <w:unhideWhenUsed/>
    <w:rsid w:val="004F35BE"/>
    <w:pPr>
      <w:spacing w:line="240" w:lineRule="auto"/>
    </w:pPr>
    <w:rPr>
      <w:sz w:val="20"/>
      <w:szCs w:val="20"/>
    </w:rPr>
  </w:style>
  <w:style w:type="character" w:customStyle="1" w:styleId="CommentTextChar">
    <w:name w:val="Comment Text Char"/>
    <w:basedOn w:val="DefaultParagraphFont"/>
    <w:link w:val="CommentText"/>
    <w:uiPriority w:val="99"/>
    <w:semiHidden/>
    <w:rsid w:val="004F35BE"/>
    <w:rPr>
      <w:sz w:val="20"/>
      <w:szCs w:val="20"/>
    </w:rPr>
  </w:style>
  <w:style w:type="paragraph" w:styleId="CommentSubject">
    <w:name w:val="annotation subject"/>
    <w:basedOn w:val="CommentText"/>
    <w:next w:val="CommentText"/>
    <w:link w:val="CommentSubjectChar"/>
    <w:uiPriority w:val="99"/>
    <w:semiHidden/>
    <w:unhideWhenUsed/>
    <w:rsid w:val="004F35BE"/>
    <w:rPr>
      <w:b/>
      <w:bCs/>
    </w:rPr>
  </w:style>
  <w:style w:type="character" w:customStyle="1" w:styleId="CommentSubjectChar">
    <w:name w:val="Comment Subject Char"/>
    <w:basedOn w:val="CommentTextChar"/>
    <w:link w:val="CommentSubject"/>
    <w:uiPriority w:val="99"/>
    <w:semiHidden/>
    <w:rsid w:val="004F35B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2132</Words>
  <Characters>12154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Administrator</cp:lastModifiedBy>
  <cp:revision>4</cp:revision>
  <cp:lastPrinted>2011-05-18T11:19:00Z</cp:lastPrinted>
  <dcterms:created xsi:type="dcterms:W3CDTF">2011-05-18T11:47:00Z</dcterms:created>
  <dcterms:modified xsi:type="dcterms:W3CDTF">2011-05-19T07:01:00Z</dcterms:modified>
</cp:coreProperties>
</file>