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3BD" w:rsidRDefault="000533BD" w:rsidP="000533BD">
      <w:pPr>
        <w:ind w:left="90"/>
        <w:jc w:val="center"/>
        <w:rPr>
          <w:b/>
          <w:u w:val="single"/>
        </w:rPr>
      </w:pPr>
      <w:r w:rsidRPr="000533BD">
        <w:rPr>
          <w:b/>
          <w:u w:val="single"/>
        </w:rPr>
        <w:t xml:space="preserve">Format for Mid the Term Evaluation of the Achievement of Sector Outcomes of the Strategic Action Plan (2009 – 2013) of the Government of Maldives </w:t>
      </w:r>
    </w:p>
    <w:p w:rsidR="00196C12" w:rsidRPr="000533BD" w:rsidRDefault="00196C12" w:rsidP="000533BD">
      <w:pPr>
        <w:ind w:left="90"/>
        <w:jc w:val="center"/>
        <w:rPr>
          <w:b/>
          <w:u w:val="single"/>
        </w:rPr>
      </w:pPr>
      <w:r w:rsidRPr="00196C12">
        <w:rPr>
          <w:i/>
          <w:sz w:val="20"/>
          <w:szCs w:val="20"/>
        </w:rPr>
        <w:t>(Pls. state the name of the Sector)</w:t>
      </w:r>
      <w:r>
        <w:rPr>
          <w:b/>
        </w:rPr>
        <w:t xml:space="preserve"> </w:t>
      </w:r>
      <w:r w:rsidRPr="00196C12">
        <w:rPr>
          <w:b/>
          <w:sz w:val="24"/>
          <w:szCs w:val="24"/>
        </w:rPr>
        <w:t>Sector</w:t>
      </w:r>
    </w:p>
    <w:p w:rsidR="00D378A4" w:rsidRPr="00D378A4" w:rsidRDefault="00BC3ACF" w:rsidP="00D378A4">
      <w:pPr>
        <w:pStyle w:val="ListParagraph"/>
        <w:numPr>
          <w:ilvl w:val="0"/>
          <w:numId w:val="4"/>
        </w:numPr>
        <w:rPr>
          <w:b/>
        </w:rPr>
      </w:pPr>
      <w:r w:rsidRPr="00D378A4">
        <w:rPr>
          <w:b/>
        </w:rPr>
        <w:t xml:space="preserve">Sector </w:t>
      </w:r>
      <w:r w:rsidR="00D1620E" w:rsidRPr="00D378A4">
        <w:rPr>
          <w:b/>
        </w:rPr>
        <w:t>Overall Progress</w:t>
      </w:r>
      <w:r w:rsidR="00123ADC">
        <w:rPr>
          <w:b/>
        </w:rPr>
        <w:t xml:space="preserve"> (</w:t>
      </w:r>
      <w:r w:rsidR="009F666C">
        <w:rPr>
          <w:b/>
        </w:rPr>
        <w:t>5</w:t>
      </w:r>
      <w:r w:rsidR="00123ADC">
        <w:rPr>
          <w:b/>
        </w:rPr>
        <w:t>00 words)</w:t>
      </w:r>
      <w:r w:rsidR="00D378A4" w:rsidRPr="00D378A4">
        <w:rPr>
          <w:b/>
        </w:rPr>
        <w:t xml:space="preserve"> </w:t>
      </w:r>
    </w:p>
    <w:p w:rsidR="00A8036E" w:rsidRDefault="00D378A4" w:rsidP="00A8036E">
      <w:pPr>
        <w:pStyle w:val="ListParagraph"/>
        <w:ind w:left="540"/>
        <w:rPr>
          <w:b/>
          <w:i/>
          <w:sz w:val="18"/>
          <w:szCs w:val="18"/>
        </w:rPr>
      </w:pPr>
      <w:r w:rsidRPr="00A8036E">
        <w:rPr>
          <w:b/>
          <w:i/>
          <w:sz w:val="18"/>
          <w:szCs w:val="18"/>
        </w:rPr>
        <w:t>{</w:t>
      </w:r>
      <w:r w:rsidR="00A8036E">
        <w:rPr>
          <w:b/>
          <w:bCs/>
          <w:i/>
          <w:sz w:val="18"/>
          <w:szCs w:val="18"/>
        </w:rPr>
        <w:t>A description of the</w:t>
      </w:r>
      <w:r w:rsidRPr="00A8036E">
        <w:rPr>
          <w:b/>
          <w:i/>
          <w:sz w:val="18"/>
          <w:szCs w:val="18"/>
        </w:rPr>
        <w:t xml:space="preserve"> extent</w:t>
      </w:r>
      <w:r w:rsidR="00A8036E">
        <w:rPr>
          <w:b/>
          <w:i/>
          <w:sz w:val="18"/>
          <w:szCs w:val="18"/>
        </w:rPr>
        <w:t xml:space="preserve"> to which the</w:t>
      </w:r>
      <w:r w:rsidRPr="00A8036E">
        <w:rPr>
          <w:b/>
          <w:i/>
          <w:sz w:val="18"/>
          <w:szCs w:val="18"/>
        </w:rPr>
        <w:t xml:space="preserve"> Sector Outcomes as specified in the policy goals were realized in the period under review}</w:t>
      </w:r>
    </w:p>
    <w:p w:rsidR="0007674A" w:rsidRPr="0007674A" w:rsidRDefault="0007674A" w:rsidP="00A8036E">
      <w:pPr>
        <w:pStyle w:val="ListParagraph"/>
        <w:ind w:left="540"/>
        <w:rPr>
          <w:sz w:val="18"/>
          <w:szCs w:val="18"/>
        </w:rPr>
      </w:pPr>
    </w:p>
    <w:tbl>
      <w:tblPr>
        <w:tblStyle w:val="TableGrid"/>
        <w:tblW w:w="9309" w:type="dxa"/>
        <w:tblInd w:w="531" w:type="dxa"/>
        <w:tblLook w:val="04A0"/>
      </w:tblPr>
      <w:tblGrid>
        <w:gridCol w:w="9309"/>
      </w:tblGrid>
      <w:tr w:rsidR="00BC3ACF" w:rsidRPr="001449F9" w:rsidTr="00D1620E">
        <w:trPr>
          <w:trHeight w:val="7866"/>
        </w:trPr>
        <w:tc>
          <w:tcPr>
            <w:tcW w:w="9309" w:type="dxa"/>
          </w:tcPr>
          <w:p w:rsidR="000F4FE7" w:rsidRPr="000F4FE7" w:rsidRDefault="000F4FE7" w:rsidP="00C009CF">
            <w:pPr>
              <w:spacing w:before="100" w:beforeAutospacing="1" w:after="100" w:afterAutospacing="1"/>
              <w:jc w:val="both"/>
              <w:rPr>
                <w:rFonts w:eastAsia="Times New Roman" w:cs="Times New Roman"/>
                <w:color w:val="1F497D" w:themeColor="text2"/>
                <w:sz w:val="18"/>
                <w:szCs w:val="18"/>
              </w:rPr>
            </w:pPr>
            <w:r w:rsidRPr="000F4FE7">
              <w:rPr>
                <w:rFonts w:eastAsia="Times New Roman" w:cs="Times New Roman"/>
                <w:color w:val="1F497D" w:themeColor="text2"/>
                <w:sz w:val="18"/>
                <w:szCs w:val="18"/>
              </w:rPr>
              <w:t xml:space="preserve">The adoption of a new, democratic constitution in 2008 transformed the institutional and legal framework of the country. Breaking with the no-party system in Maldives prior to 2008, the new Constitution included a comprehensive bill of rights and created an environment conducive to ratification and domestication of the most important international human rights treaties. The Constitution provided for a comprehensive process of review of domestic laws. Yet early reviews undertaken by Parliament immediately after the adoption of the Constitution have not been followed through and no consistent effort on domestication of international obligations has been pursued. </w:t>
            </w:r>
            <w:r w:rsidR="00C009CF" w:rsidRPr="000F4FE7">
              <w:rPr>
                <w:rFonts w:eastAsia="Times New Roman" w:cs="Times New Roman"/>
                <w:color w:val="1F497D" w:themeColor="text2"/>
                <w:sz w:val="18"/>
                <w:szCs w:val="18"/>
              </w:rPr>
              <w:t>Whilst considerable and laudable progress has been made, much still remains to be done.</w:t>
            </w:r>
          </w:p>
          <w:p w:rsidR="000F4FE7" w:rsidRPr="000F4FE7" w:rsidRDefault="000F4FE7" w:rsidP="000F4FE7">
            <w:pPr>
              <w:spacing w:before="100" w:beforeAutospacing="1" w:after="100" w:afterAutospacing="1"/>
              <w:jc w:val="both"/>
              <w:rPr>
                <w:rFonts w:eastAsia="Times New Roman" w:cs="Times New Roman"/>
                <w:color w:val="1F497D" w:themeColor="text2"/>
                <w:sz w:val="18"/>
                <w:szCs w:val="18"/>
              </w:rPr>
            </w:pPr>
            <w:r w:rsidRPr="000F4FE7">
              <w:rPr>
                <w:rFonts w:eastAsia="Times New Roman" w:cs="Times New Roman"/>
                <w:color w:val="1F497D" w:themeColor="text2"/>
                <w:sz w:val="18"/>
                <w:szCs w:val="18"/>
              </w:rPr>
              <w:t>Overall, there has been considerable and laudable progress in the rule of law sector since 2008:</w:t>
            </w:r>
            <w:r w:rsidR="00FA2B50">
              <w:rPr>
                <w:rFonts w:eastAsia="Times New Roman" w:cs="Times New Roman"/>
                <w:color w:val="1F497D" w:themeColor="text2"/>
                <w:sz w:val="18"/>
                <w:szCs w:val="18"/>
              </w:rPr>
              <w:t xml:space="preserve"> In a nut-shell;</w:t>
            </w:r>
          </w:p>
          <w:p w:rsidR="00CE351E" w:rsidRDefault="00C009CF" w:rsidP="00C009CF">
            <w:pPr>
              <w:numPr>
                <w:ilvl w:val="0"/>
                <w:numId w:val="6"/>
              </w:numPr>
              <w:spacing w:before="100" w:beforeAutospacing="1" w:after="100" w:afterAutospacing="1"/>
              <w:jc w:val="both"/>
              <w:rPr>
                <w:rFonts w:eastAsia="Times New Roman" w:cs="Times New Roman"/>
                <w:color w:val="1F497D" w:themeColor="text2"/>
                <w:sz w:val="18"/>
                <w:szCs w:val="18"/>
              </w:rPr>
            </w:pPr>
            <w:r>
              <w:rPr>
                <w:rFonts w:eastAsia="Times New Roman" w:cs="Times New Roman"/>
                <w:color w:val="1F497D" w:themeColor="text2"/>
                <w:sz w:val="18"/>
                <w:szCs w:val="18"/>
              </w:rPr>
              <w:t>A s</w:t>
            </w:r>
            <w:r w:rsidR="00CE351E">
              <w:rPr>
                <w:rFonts w:eastAsia="Times New Roman" w:cs="Times New Roman"/>
                <w:color w:val="1F497D" w:themeColor="text2"/>
                <w:sz w:val="18"/>
                <w:szCs w:val="18"/>
              </w:rPr>
              <w:t xml:space="preserve">ignificant amount of </w:t>
            </w:r>
            <w:r>
              <w:rPr>
                <w:rFonts w:eastAsia="Times New Roman" w:cs="Times New Roman"/>
                <w:color w:val="1F497D" w:themeColor="text2"/>
                <w:sz w:val="18"/>
                <w:szCs w:val="18"/>
              </w:rPr>
              <w:t xml:space="preserve">key </w:t>
            </w:r>
            <w:r w:rsidR="00CE351E">
              <w:rPr>
                <w:rFonts w:eastAsia="Times New Roman" w:cs="Times New Roman"/>
                <w:color w:val="1F497D" w:themeColor="text2"/>
                <w:sz w:val="18"/>
                <w:szCs w:val="18"/>
              </w:rPr>
              <w:t>legislations have been passed by the Parliament</w:t>
            </w:r>
          </w:p>
          <w:p w:rsidR="000F4FE7" w:rsidRPr="000F4FE7" w:rsidRDefault="000F4FE7" w:rsidP="000F4FE7">
            <w:pPr>
              <w:numPr>
                <w:ilvl w:val="0"/>
                <w:numId w:val="6"/>
              </w:numPr>
              <w:spacing w:before="100" w:beforeAutospacing="1" w:after="100" w:afterAutospacing="1"/>
              <w:jc w:val="both"/>
              <w:rPr>
                <w:rFonts w:eastAsia="Times New Roman" w:cs="Times New Roman"/>
                <w:color w:val="1F497D" w:themeColor="text2"/>
                <w:sz w:val="18"/>
                <w:szCs w:val="18"/>
              </w:rPr>
            </w:pPr>
            <w:r w:rsidRPr="000F4FE7">
              <w:rPr>
                <w:rFonts w:eastAsia="Times New Roman" w:cs="Times New Roman"/>
                <w:color w:val="1F497D" w:themeColor="text2"/>
                <w:sz w:val="18"/>
                <w:szCs w:val="18"/>
              </w:rPr>
              <w:t>The legislative process in Parliament has generally respected international and constitutional standards. While government action has respected the Constitution and legislation in the area of economic management, political expediency has often resulted in violations of the law in other areas.</w:t>
            </w:r>
          </w:p>
          <w:p w:rsidR="000F4FE7" w:rsidRPr="000F4FE7" w:rsidRDefault="000F4FE7" w:rsidP="00C009CF">
            <w:pPr>
              <w:numPr>
                <w:ilvl w:val="0"/>
                <w:numId w:val="6"/>
              </w:numPr>
              <w:spacing w:before="100" w:beforeAutospacing="1" w:after="100" w:afterAutospacing="1"/>
              <w:jc w:val="both"/>
              <w:rPr>
                <w:rFonts w:eastAsia="Times New Roman" w:cs="Times New Roman"/>
                <w:color w:val="1F497D" w:themeColor="text2"/>
                <w:sz w:val="18"/>
                <w:szCs w:val="18"/>
              </w:rPr>
            </w:pPr>
            <w:r w:rsidRPr="000F4FE7">
              <w:rPr>
                <w:rFonts w:eastAsia="Times New Roman" w:cs="Times New Roman"/>
                <w:color w:val="1F497D" w:themeColor="text2"/>
                <w:sz w:val="18"/>
                <w:szCs w:val="18"/>
              </w:rPr>
              <w:t xml:space="preserve">Management of the rule of law sector has dramatically improved over the last couple of years. For example, measures have been taken to strengthen autonomous administration of the </w:t>
            </w:r>
            <w:r w:rsidR="00C009CF">
              <w:rPr>
                <w:rFonts w:eastAsia="Times New Roman" w:cs="Times New Roman"/>
                <w:color w:val="1F497D" w:themeColor="text2"/>
                <w:sz w:val="18"/>
                <w:szCs w:val="18"/>
              </w:rPr>
              <w:t>institutions</w:t>
            </w:r>
          </w:p>
          <w:p w:rsidR="000F4FE7" w:rsidRPr="000F4FE7" w:rsidRDefault="000F4FE7" w:rsidP="000F4FE7">
            <w:pPr>
              <w:numPr>
                <w:ilvl w:val="0"/>
                <w:numId w:val="6"/>
              </w:numPr>
              <w:spacing w:before="100" w:beforeAutospacing="1" w:after="100" w:afterAutospacing="1"/>
              <w:jc w:val="both"/>
              <w:rPr>
                <w:rFonts w:eastAsia="Times New Roman" w:cs="Times New Roman"/>
                <w:color w:val="1F497D" w:themeColor="text2"/>
                <w:sz w:val="18"/>
                <w:szCs w:val="18"/>
              </w:rPr>
            </w:pPr>
            <w:r w:rsidRPr="000F4FE7">
              <w:rPr>
                <w:rFonts w:eastAsia="Times New Roman" w:cs="Times New Roman"/>
                <w:color w:val="1F497D" w:themeColor="text2"/>
                <w:sz w:val="18"/>
                <w:szCs w:val="18"/>
              </w:rPr>
              <w:t xml:space="preserve">Significant progress has been made in reforming the criminal justice system. Police officers, for example, have undergone extensive training in human rights and public order management. </w:t>
            </w:r>
          </w:p>
          <w:p w:rsidR="00C009CF" w:rsidRPr="00C009CF" w:rsidRDefault="00FA2B50" w:rsidP="00C009CF">
            <w:pPr>
              <w:numPr>
                <w:ilvl w:val="0"/>
                <w:numId w:val="6"/>
              </w:numPr>
              <w:spacing w:before="100" w:beforeAutospacing="1" w:after="100" w:afterAutospacing="1"/>
              <w:jc w:val="both"/>
              <w:rPr>
                <w:rFonts w:eastAsia="Times New Roman" w:cs="Times New Roman"/>
                <w:color w:val="1F497D" w:themeColor="text2"/>
                <w:sz w:val="18"/>
                <w:szCs w:val="18"/>
              </w:rPr>
            </w:pPr>
            <w:r>
              <w:rPr>
                <w:rFonts w:eastAsia="Times New Roman" w:cs="Times New Roman"/>
                <w:color w:val="1F497D" w:themeColor="text2"/>
                <w:sz w:val="18"/>
                <w:szCs w:val="18"/>
              </w:rPr>
              <w:t xml:space="preserve">Judicature Act </w:t>
            </w:r>
            <w:r w:rsidR="00F12DB0">
              <w:rPr>
                <w:rFonts w:eastAsia="Times New Roman" w:cs="Times New Roman"/>
                <w:color w:val="1F497D" w:themeColor="text2"/>
                <w:sz w:val="18"/>
                <w:szCs w:val="18"/>
              </w:rPr>
              <w:t xml:space="preserve">and Judges Act </w:t>
            </w:r>
            <w:r>
              <w:rPr>
                <w:rFonts w:eastAsia="Times New Roman" w:cs="Times New Roman"/>
                <w:color w:val="1F497D" w:themeColor="text2"/>
                <w:sz w:val="18"/>
                <w:szCs w:val="18"/>
              </w:rPr>
              <w:t>is in place and the court hierarchy and jurisdictions have been re-defined;</w:t>
            </w:r>
          </w:p>
          <w:p w:rsidR="000F4FE7" w:rsidRPr="000F4FE7" w:rsidRDefault="000F4FE7" w:rsidP="000F4FE7">
            <w:pPr>
              <w:numPr>
                <w:ilvl w:val="0"/>
                <w:numId w:val="6"/>
              </w:numPr>
              <w:spacing w:before="100" w:beforeAutospacing="1" w:after="100" w:afterAutospacing="1"/>
              <w:jc w:val="both"/>
              <w:rPr>
                <w:rFonts w:eastAsia="Times New Roman" w:cs="Times New Roman"/>
                <w:color w:val="1F497D" w:themeColor="text2"/>
                <w:sz w:val="18"/>
                <w:szCs w:val="18"/>
              </w:rPr>
            </w:pPr>
            <w:r w:rsidRPr="000F4FE7">
              <w:rPr>
                <w:rFonts w:eastAsia="Times New Roman" w:cs="Times New Roman"/>
                <w:color w:val="1F497D" w:themeColor="text2"/>
                <w:sz w:val="18"/>
                <w:szCs w:val="18"/>
              </w:rPr>
              <w:t>Despite notable efforts in better policing, crime has been steadily increasing since, driven principally by drug abuse.</w:t>
            </w:r>
          </w:p>
          <w:p w:rsidR="000F4FE7" w:rsidRPr="000F4FE7" w:rsidRDefault="009474C5" w:rsidP="009474C5">
            <w:pPr>
              <w:numPr>
                <w:ilvl w:val="0"/>
                <w:numId w:val="6"/>
              </w:numPr>
              <w:spacing w:before="100" w:beforeAutospacing="1" w:after="100" w:afterAutospacing="1"/>
              <w:jc w:val="both"/>
              <w:rPr>
                <w:rFonts w:eastAsia="Times New Roman" w:cs="Times New Roman"/>
                <w:color w:val="1F497D" w:themeColor="text2"/>
                <w:sz w:val="18"/>
                <w:szCs w:val="18"/>
              </w:rPr>
            </w:pPr>
            <w:r>
              <w:rPr>
                <w:rFonts w:eastAsia="Times New Roman" w:cs="Times New Roman"/>
                <w:color w:val="1F497D" w:themeColor="text2"/>
                <w:sz w:val="18"/>
                <w:szCs w:val="18"/>
              </w:rPr>
              <w:t xml:space="preserve">The public has become more aware of the </w:t>
            </w:r>
            <w:r w:rsidR="000F4FE7" w:rsidRPr="000F4FE7">
              <w:rPr>
                <w:rFonts w:eastAsia="Times New Roman" w:cs="Times New Roman"/>
                <w:color w:val="1F497D" w:themeColor="text2"/>
                <w:sz w:val="18"/>
                <w:szCs w:val="18"/>
              </w:rPr>
              <w:t>formal justice</w:t>
            </w:r>
            <w:r>
              <w:rPr>
                <w:rFonts w:eastAsia="Times New Roman" w:cs="Times New Roman"/>
                <w:color w:val="1F497D" w:themeColor="text2"/>
                <w:sz w:val="18"/>
                <w:szCs w:val="18"/>
              </w:rPr>
              <w:t xml:space="preserve"> mechanism although access to justice is li</w:t>
            </w:r>
            <w:r w:rsidR="000F4FE7" w:rsidRPr="000F4FE7">
              <w:rPr>
                <w:rFonts w:eastAsia="Times New Roman" w:cs="Times New Roman"/>
                <w:color w:val="1F497D" w:themeColor="text2"/>
                <w:sz w:val="18"/>
                <w:szCs w:val="18"/>
              </w:rPr>
              <w:t>mited to the wealthy elite and the educated</w:t>
            </w:r>
            <w:r>
              <w:rPr>
                <w:rFonts w:eastAsia="Times New Roman" w:cs="Times New Roman"/>
                <w:color w:val="1F497D" w:themeColor="text2"/>
                <w:sz w:val="18"/>
                <w:szCs w:val="18"/>
              </w:rPr>
              <w:t>.</w:t>
            </w:r>
          </w:p>
          <w:p w:rsidR="000F4FE7" w:rsidRDefault="000F4FE7" w:rsidP="000F4FE7">
            <w:pPr>
              <w:numPr>
                <w:ilvl w:val="0"/>
                <w:numId w:val="6"/>
              </w:numPr>
              <w:spacing w:before="100" w:beforeAutospacing="1" w:after="100" w:afterAutospacing="1"/>
              <w:jc w:val="both"/>
              <w:rPr>
                <w:rFonts w:eastAsia="Times New Roman" w:cs="Times New Roman"/>
                <w:color w:val="1F497D" w:themeColor="text2"/>
                <w:sz w:val="18"/>
                <w:szCs w:val="18"/>
              </w:rPr>
            </w:pPr>
            <w:r w:rsidRPr="000F4FE7">
              <w:rPr>
                <w:rFonts w:eastAsia="Times New Roman" w:cs="Times New Roman"/>
                <w:color w:val="1F497D" w:themeColor="text2"/>
                <w:sz w:val="18"/>
                <w:szCs w:val="18"/>
              </w:rPr>
              <w:t xml:space="preserve">Over the past years, donors have improved their coordination efforts, as has government. However, the impact of these efforts is limited by the absence of an effective, </w:t>
            </w:r>
            <w:proofErr w:type="spellStart"/>
            <w:r w:rsidRPr="000F4FE7">
              <w:rPr>
                <w:rFonts w:eastAsia="Times New Roman" w:cs="Times New Roman"/>
                <w:color w:val="1F497D" w:themeColor="text2"/>
                <w:sz w:val="18"/>
                <w:szCs w:val="18"/>
              </w:rPr>
              <w:t>sectoral</w:t>
            </w:r>
            <w:proofErr w:type="spellEnd"/>
            <w:r w:rsidRPr="000F4FE7">
              <w:rPr>
                <w:rFonts w:eastAsia="Times New Roman" w:cs="Times New Roman"/>
                <w:color w:val="1F497D" w:themeColor="text2"/>
                <w:sz w:val="18"/>
                <w:szCs w:val="18"/>
              </w:rPr>
              <w:t>, strategic plan.</w:t>
            </w:r>
          </w:p>
          <w:p w:rsidR="009474C5" w:rsidRPr="000F4FE7" w:rsidRDefault="009474C5" w:rsidP="000F4FE7">
            <w:pPr>
              <w:numPr>
                <w:ilvl w:val="0"/>
                <w:numId w:val="6"/>
              </w:numPr>
              <w:spacing w:before="100" w:beforeAutospacing="1" w:after="100" w:afterAutospacing="1"/>
              <w:jc w:val="both"/>
              <w:rPr>
                <w:rFonts w:eastAsia="Times New Roman" w:cs="Times New Roman"/>
                <w:color w:val="1F497D" w:themeColor="text2"/>
                <w:sz w:val="18"/>
                <w:szCs w:val="18"/>
              </w:rPr>
            </w:pPr>
            <w:r>
              <w:rPr>
                <w:rFonts w:eastAsia="Times New Roman" w:cs="Times New Roman"/>
                <w:color w:val="1F497D" w:themeColor="text2"/>
                <w:sz w:val="18"/>
                <w:szCs w:val="18"/>
              </w:rPr>
              <w:t>etc</w:t>
            </w:r>
          </w:p>
          <w:p w:rsidR="000F4FE7" w:rsidRPr="000F4FE7" w:rsidRDefault="000F4FE7" w:rsidP="000F4FE7">
            <w:pPr>
              <w:jc w:val="both"/>
              <w:rPr>
                <w:rFonts w:eastAsia="Times New Roman" w:cs="Times New Roman"/>
                <w:color w:val="1F497D" w:themeColor="text2"/>
                <w:sz w:val="18"/>
                <w:szCs w:val="18"/>
              </w:rPr>
            </w:pPr>
            <w:r w:rsidRPr="000F4FE7">
              <w:rPr>
                <w:rFonts w:eastAsia="Times New Roman" w:cs="Times New Roman"/>
                <w:color w:val="1F497D" w:themeColor="text2"/>
                <w:sz w:val="18"/>
                <w:szCs w:val="18"/>
              </w:rPr>
              <w:t>Nevertheless, much remains to be done, and long-term commitment is needed from government to embed reforms, and enact further, critical improvements to the country’s rule of law and justice system. Challenges include the need:</w:t>
            </w:r>
          </w:p>
          <w:p w:rsidR="000F4FE7" w:rsidRPr="000F4FE7" w:rsidRDefault="000F4FE7" w:rsidP="000F4FE7">
            <w:pPr>
              <w:numPr>
                <w:ilvl w:val="0"/>
                <w:numId w:val="7"/>
              </w:numPr>
              <w:spacing w:before="100" w:beforeAutospacing="1" w:after="100" w:afterAutospacing="1"/>
              <w:jc w:val="both"/>
              <w:rPr>
                <w:rFonts w:eastAsia="Times New Roman" w:cs="Times New Roman"/>
                <w:color w:val="1F497D" w:themeColor="text2"/>
                <w:sz w:val="18"/>
                <w:szCs w:val="18"/>
              </w:rPr>
            </w:pPr>
            <w:r w:rsidRPr="000F4FE7">
              <w:rPr>
                <w:rFonts w:eastAsia="Times New Roman" w:cs="Times New Roman"/>
                <w:color w:val="1F497D" w:themeColor="text2"/>
                <w:sz w:val="18"/>
                <w:szCs w:val="18"/>
              </w:rPr>
              <w:t>to ensure that all statutory and customary laws of Maldives are aligned to the Constitution and to international law;</w:t>
            </w:r>
          </w:p>
          <w:p w:rsidR="000F4FE7" w:rsidRPr="000F4FE7" w:rsidRDefault="000F4FE7" w:rsidP="000F4FE7">
            <w:pPr>
              <w:numPr>
                <w:ilvl w:val="0"/>
                <w:numId w:val="7"/>
              </w:numPr>
              <w:spacing w:before="100" w:beforeAutospacing="1" w:after="100" w:afterAutospacing="1"/>
              <w:jc w:val="both"/>
              <w:rPr>
                <w:rFonts w:eastAsia="Times New Roman" w:cs="Times New Roman"/>
                <w:color w:val="1F497D" w:themeColor="text2"/>
                <w:sz w:val="18"/>
                <w:szCs w:val="18"/>
              </w:rPr>
            </w:pPr>
            <w:r w:rsidRPr="000F4FE7">
              <w:rPr>
                <w:rFonts w:eastAsia="Times New Roman" w:cs="Times New Roman"/>
                <w:color w:val="1F497D" w:themeColor="text2"/>
                <w:sz w:val="18"/>
                <w:szCs w:val="18"/>
              </w:rPr>
              <w:t>to match the respect shown for internationally agreed economic management strictures with an equal respect for the law in all other matters, including political;</w:t>
            </w:r>
          </w:p>
          <w:p w:rsidR="000F4FE7" w:rsidRPr="000F4FE7" w:rsidRDefault="000F4FE7" w:rsidP="000F4FE7">
            <w:pPr>
              <w:numPr>
                <w:ilvl w:val="0"/>
                <w:numId w:val="7"/>
              </w:numPr>
              <w:spacing w:before="100" w:beforeAutospacing="1" w:after="100" w:afterAutospacing="1"/>
              <w:jc w:val="both"/>
              <w:rPr>
                <w:rFonts w:eastAsia="Times New Roman" w:cs="Times New Roman"/>
                <w:color w:val="1F497D" w:themeColor="text2"/>
                <w:sz w:val="18"/>
                <w:szCs w:val="18"/>
              </w:rPr>
            </w:pPr>
            <w:r w:rsidRPr="000F4FE7">
              <w:rPr>
                <w:rFonts w:eastAsia="Times New Roman" w:cs="Times New Roman"/>
                <w:color w:val="1F497D" w:themeColor="text2"/>
                <w:sz w:val="18"/>
                <w:szCs w:val="18"/>
              </w:rPr>
              <w:t>to strengthen the prosecution service in the light of steadily rising crime levels;</w:t>
            </w:r>
          </w:p>
          <w:p w:rsidR="000F4FE7" w:rsidRPr="000F4FE7" w:rsidRDefault="000F4FE7" w:rsidP="000F4FE7">
            <w:pPr>
              <w:numPr>
                <w:ilvl w:val="0"/>
                <w:numId w:val="7"/>
              </w:numPr>
              <w:spacing w:before="100" w:beforeAutospacing="1" w:after="100" w:afterAutospacing="1"/>
              <w:jc w:val="both"/>
              <w:rPr>
                <w:rFonts w:eastAsia="Times New Roman" w:cs="Times New Roman"/>
                <w:color w:val="1F497D" w:themeColor="text2"/>
                <w:sz w:val="18"/>
                <w:szCs w:val="18"/>
              </w:rPr>
            </w:pPr>
            <w:r w:rsidRPr="000F4FE7">
              <w:rPr>
                <w:rFonts w:eastAsia="Times New Roman" w:cs="Times New Roman"/>
                <w:color w:val="1F497D" w:themeColor="text2"/>
                <w:sz w:val="18"/>
                <w:szCs w:val="18"/>
              </w:rPr>
              <w:t>for various further reforms in the criminal justice system, including regard to legal guarantees of fair trial, and in terms of prison conditions;</w:t>
            </w:r>
          </w:p>
          <w:p w:rsidR="000F4FE7" w:rsidRPr="000F4FE7" w:rsidRDefault="000F4FE7" w:rsidP="000F4FE7">
            <w:pPr>
              <w:numPr>
                <w:ilvl w:val="0"/>
                <w:numId w:val="7"/>
              </w:numPr>
              <w:spacing w:before="100" w:beforeAutospacing="1" w:after="100" w:afterAutospacing="1"/>
              <w:jc w:val="both"/>
              <w:rPr>
                <w:rFonts w:eastAsia="Times New Roman" w:cs="Times New Roman"/>
                <w:color w:val="1F497D" w:themeColor="text2"/>
                <w:sz w:val="18"/>
                <w:szCs w:val="18"/>
              </w:rPr>
            </w:pPr>
            <w:r w:rsidRPr="000F4FE7">
              <w:rPr>
                <w:rFonts w:eastAsia="Times New Roman" w:cs="Times New Roman"/>
                <w:color w:val="1F497D" w:themeColor="text2"/>
                <w:sz w:val="18"/>
                <w:szCs w:val="18"/>
              </w:rPr>
              <w:t>to improve access to justice for ordinary citizens, including the urgent call for a legal framework to govern customary forums through which the vast majority of Maldivians access justice; and</w:t>
            </w:r>
          </w:p>
          <w:p w:rsidR="000F4FE7" w:rsidRDefault="000F4FE7" w:rsidP="000F4FE7">
            <w:pPr>
              <w:numPr>
                <w:ilvl w:val="0"/>
                <w:numId w:val="7"/>
              </w:numPr>
              <w:spacing w:before="100" w:beforeAutospacing="1" w:after="100" w:afterAutospacing="1"/>
              <w:jc w:val="both"/>
              <w:rPr>
                <w:rFonts w:eastAsia="Times New Roman" w:cs="Times New Roman"/>
                <w:color w:val="1F497D" w:themeColor="text2"/>
                <w:sz w:val="18"/>
                <w:szCs w:val="18"/>
              </w:rPr>
            </w:pPr>
            <w:proofErr w:type="gramStart"/>
            <w:r w:rsidRPr="000F4FE7">
              <w:rPr>
                <w:rFonts w:eastAsia="Times New Roman" w:cs="Times New Roman"/>
                <w:color w:val="1F497D" w:themeColor="text2"/>
                <w:sz w:val="18"/>
                <w:szCs w:val="18"/>
              </w:rPr>
              <w:t>for</w:t>
            </w:r>
            <w:proofErr w:type="gramEnd"/>
            <w:r w:rsidRPr="000F4FE7">
              <w:rPr>
                <w:rFonts w:eastAsia="Times New Roman" w:cs="Times New Roman"/>
                <w:color w:val="1F497D" w:themeColor="text2"/>
                <w:sz w:val="18"/>
                <w:szCs w:val="18"/>
              </w:rPr>
              <w:t xml:space="preserve"> a sector-wide approach for the coordination of development assistance in the sector.</w:t>
            </w:r>
          </w:p>
          <w:p w:rsidR="00A00270" w:rsidRPr="00E20CE9" w:rsidRDefault="00E20CE9" w:rsidP="00E20CE9">
            <w:pPr>
              <w:numPr>
                <w:ilvl w:val="0"/>
                <w:numId w:val="7"/>
              </w:numPr>
              <w:spacing w:before="100" w:beforeAutospacing="1" w:after="100" w:afterAutospacing="1"/>
              <w:jc w:val="both"/>
              <w:rPr>
                <w:rFonts w:eastAsia="Times New Roman" w:cs="Times New Roman"/>
                <w:color w:val="1F497D" w:themeColor="text2"/>
                <w:sz w:val="18"/>
                <w:szCs w:val="18"/>
              </w:rPr>
            </w:pPr>
            <w:r>
              <w:rPr>
                <w:rFonts w:eastAsia="Times New Roman" w:cs="Times New Roman"/>
                <w:color w:val="1F497D" w:themeColor="text2"/>
                <w:sz w:val="18"/>
                <w:szCs w:val="18"/>
              </w:rPr>
              <w:t>etc</w:t>
            </w:r>
          </w:p>
        </w:tc>
      </w:tr>
    </w:tbl>
    <w:p w:rsidR="008526AE" w:rsidRDefault="008526AE" w:rsidP="008526AE">
      <w:pPr>
        <w:pStyle w:val="ListParagraph"/>
        <w:ind w:left="450"/>
      </w:pPr>
    </w:p>
    <w:p w:rsidR="00D1620E" w:rsidRDefault="00D1620E" w:rsidP="00D378A4">
      <w:pPr>
        <w:pStyle w:val="ListParagraph"/>
        <w:numPr>
          <w:ilvl w:val="1"/>
          <w:numId w:val="4"/>
        </w:numPr>
        <w:tabs>
          <w:tab w:val="left" w:pos="828"/>
        </w:tabs>
        <w:ind w:left="810"/>
        <w:rPr>
          <w:b/>
        </w:rPr>
      </w:pPr>
      <w:r w:rsidRPr="00D378A4">
        <w:rPr>
          <w:b/>
        </w:rPr>
        <w:t>Progress on Key Sector Outcomes</w:t>
      </w:r>
    </w:p>
    <w:p w:rsidR="00D1620E" w:rsidRDefault="00D378A4" w:rsidP="0007674A">
      <w:pPr>
        <w:pStyle w:val="ListParagraph"/>
        <w:ind w:left="810" w:hanging="90"/>
        <w:rPr>
          <w:b/>
          <w:i/>
          <w:sz w:val="18"/>
          <w:szCs w:val="18"/>
        </w:rPr>
      </w:pPr>
      <w:r w:rsidRPr="00A8036E">
        <w:rPr>
          <w:b/>
          <w:i/>
          <w:sz w:val="18"/>
          <w:szCs w:val="18"/>
        </w:rPr>
        <w:t>{For each sector</w:t>
      </w:r>
      <w:r w:rsidRPr="00A8036E">
        <w:rPr>
          <w:b/>
          <w:i/>
        </w:rPr>
        <w:t xml:space="preserve"> </w:t>
      </w:r>
      <w:r w:rsidR="006112EC" w:rsidRPr="00A8036E">
        <w:rPr>
          <w:b/>
          <w:i/>
          <w:sz w:val="18"/>
          <w:szCs w:val="18"/>
        </w:rPr>
        <w:t xml:space="preserve">outcome </w:t>
      </w:r>
      <w:r w:rsidR="00196C12">
        <w:rPr>
          <w:b/>
          <w:i/>
          <w:sz w:val="18"/>
          <w:szCs w:val="18"/>
        </w:rPr>
        <w:t xml:space="preserve">briefly </w:t>
      </w:r>
      <w:r w:rsidRPr="00A8036E">
        <w:rPr>
          <w:b/>
          <w:i/>
          <w:sz w:val="18"/>
          <w:szCs w:val="18"/>
        </w:rPr>
        <w:t xml:space="preserve">describe the </w:t>
      </w:r>
      <w:r w:rsidR="006112EC" w:rsidRPr="00A8036E">
        <w:rPr>
          <w:b/>
          <w:i/>
          <w:sz w:val="18"/>
          <w:szCs w:val="18"/>
        </w:rPr>
        <w:t xml:space="preserve">achievement made and the </w:t>
      </w:r>
      <w:r w:rsidRPr="00A8036E">
        <w:rPr>
          <w:b/>
          <w:i/>
          <w:sz w:val="18"/>
          <w:szCs w:val="18"/>
        </w:rPr>
        <w:t>extent to which implementation was carried out as envisaged by the Strategies / Intervention List of the SAP. If there were any deviations wh</w:t>
      </w:r>
      <w:r w:rsidR="006112EC" w:rsidRPr="00A8036E">
        <w:rPr>
          <w:b/>
          <w:i/>
          <w:sz w:val="18"/>
          <w:szCs w:val="18"/>
        </w:rPr>
        <w:t>at were they and the causes}</w:t>
      </w:r>
    </w:p>
    <w:p w:rsidR="0007674A" w:rsidRPr="00A8036E" w:rsidRDefault="0007674A" w:rsidP="00A8036E">
      <w:pPr>
        <w:pStyle w:val="ListParagraph"/>
        <w:ind w:left="450"/>
        <w:rPr>
          <w:b/>
          <w:i/>
        </w:rPr>
      </w:pPr>
    </w:p>
    <w:tbl>
      <w:tblPr>
        <w:tblStyle w:val="TableGrid"/>
        <w:tblW w:w="9270" w:type="dxa"/>
        <w:tblInd w:w="540" w:type="dxa"/>
        <w:tblLayout w:type="fixed"/>
        <w:tblLook w:val="04A0"/>
      </w:tblPr>
      <w:tblGrid>
        <w:gridCol w:w="384"/>
        <w:gridCol w:w="3414"/>
        <w:gridCol w:w="3690"/>
        <w:gridCol w:w="1782"/>
      </w:tblGrid>
      <w:tr w:rsidR="00D1620E" w:rsidTr="00D1620E">
        <w:trPr>
          <w:trHeight w:val="547"/>
        </w:trPr>
        <w:tc>
          <w:tcPr>
            <w:tcW w:w="3798" w:type="dxa"/>
            <w:gridSpan w:val="2"/>
          </w:tcPr>
          <w:p w:rsidR="00D1620E" w:rsidRDefault="00D1620E" w:rsidP="001E34D8">
            <w:pPr>
              <w:pStyle w:val="ListParagraph"/>
              <w:ind w:left="0"/>
              <w:jc w:val="center"/>
            </w:pPr>
            <w:r>
              <w:t>Outcome</w:t>
            </w:r>
          </w:p>
        </w:tc>
        <w:tc>
          <w:tcPr>
            <w:tcW w:w="3690" w:type="dxa"/>
          </w:tcPr>
          <w:p w:rsidR="00D1620E" w:rsidRDefault="00D1620E" w:rsidP="001E34D8">
            <w:pPr>
              <w:pStyle w:val="ListParagraph"/>
              <w:ind w:left="0"/>
              <w:jc w:val="center"/>
            </w:pPr>
            <w:r>
              <w:t>Progress</w:t>
            </w:r>
          </w:p>
        </w:tc>
        <w:tc>
          <w:tcPr>
            <w:tcW w:w="1782" w:type="dxa"/>
          </w:tcPr>
          <w:p w:rsidR="00D1620E" w:rsidRDefault="00D1620E" w:rsidP="001E34D8">
            <w:pPr>
              <w:pStyle w:val="ListParagraph"/>
              <w:ind w:left="0"/>
              <w:jc w:val="center"/>
            </w:pPr>
            <w:r>
              <w:t>Issues</w:t>
            </w:r>
          </w:p>
        </w:tc>
      </w:tr>
      <w:tr w:rsidR="00D1620E" w:rsidTr="00D1620E">
        <w:trPr>
          <w:trHeight w:val="135"/>
        </w:trPr>
        <w:tc>
          <w:tcPr>
            <w:tcW w:w="384" w:type="dxa"/>
          </w:tcPr>
          <w:p w:rsidR="00D1620E" w:rsidRDefault="00D1620E" w:rsidP="001E34D8">
            <w:pPr>
              <w:pStyle w:val="ListParagraph"/>
              <w:ind w:left="0"/>
            </w:pPr>
            <w:r>
              <w:t>1.</w:t>
            </w:r>
          </w:p>
        </w:tc>
        <w:tc>
          <w:tcPr>
            <w:tcW w:w="3414" w:type="dxa"/>
          </w:tcPr>
          <w:p w:rsidR="00D1620E" w:rsidRDefault="00A83AD7" w:rsidP="001E34D8">
            <w:pPr>
              <w:pStyle w:val="ListParagraph"/>
              <w:ind w:left="0"/>
            </w:pPr>
            <w:r>
              <w:t>Human Resources capacities developed in the legal, law enforcement and judicial spheres</w:t>
            </w:r>
          </w:p>
        </w:tc>
        <w:tc>
          <w:tcPr>
            <w:tcW w:w="3690" w:type="dxa"/>
          </w:tcPr>
          <w:p w:rsidR="00A83AD7" w:rsidRDefault="00A83AD7" w:rsidP="00A83AD7">
            <w:pPr>
              <w:pStyle w:val="ListParagraph"/>
              <w:ind w:left="0"/>
              <w:jc w:val="both"/>
              <w:rPr>
                <w:bCs/>
                <w:color w:val="1F497D" w:themeColor="text2"/>
                <w:sz w:val="18"/>
                <w:szCs w:val="18"/>
              </w:rPr>
            </w:pPr>
            <w:r w:rsidRPr="00E11AFA">
              <w:rPr>
                <w:bCs/>
                <w:color w:val="1F497D" w:themeColor="text2"/>
                <w:sz w:val="18"/>
                <w:szCs w:val="18"/>
              </w:rPr>
              <w:t xml:space="preserve">Human Resources capacity building initiatives were carried out in 2009 and 2010 as well. Three attorneys have been given scholarships to complete Master of Laws (LL.M) in New Zealand. </w:t>
            </w:r>
            <w:r>
              <w:rPr>
                <w:bCs/>
                <w:color w:val="1F497D" w:themeColor="text2"/>
                <w:sz w:val="18"/>
                <w:szCs w:val="18"/>
              </w:rPr>
              <w:t xml:space="preserve">A total of 12 attorneys obtained short term legal trainings in Singapore in 2010.  Six attorneys obtained specialized trainings overseas and 17 attorneys completed language refresher courses in-house. </w:t>
            </w:r>
          </w:p>
          <w:p w:rsidR="00A83AD7" w:rsidRDefault="00A83AD7" w:rsidP="00A83AD7">
            <w:pPr>
              <w:pStyle w:val="ListParagraph"/>
              <w:ind w:left="0"/>
              <w:rPr>
                <w:bCs/>
                <w:color w:val="1F497D" w:themeColor="text2"/>
                <w:sz w:val="18"/>
                <w:szCs w:val="18"/>
              </w:rPr>
            </w:pPr>
          </w:p>
          <w:p w:rsidR="00D1620E" w:rsidRDefault="00A83AD7" w:rsidP="001E55C3">
            <w:pPr>
              <w:pStyle w:val="ListParagraph"/>
              <w:ind w:left="0"/>
              <w:jc w:val="both"/>
              <w:rPr>
                <w:bCs/>
                <w:color w:val="1F497D" w:themeColor="text2"/>
                <w:sz w:val="18"/>
                <w:szCs w:val="18"/>
              </w:rPr>
            </w:pPr>
            <w:r>
              <w:rPr>
                <w:bCs/>
                <w:color w:val="1F497D" w:themeColor="text2"/>
                <w:sz w:val="18"/>
                <w:szCs w:val="18"/>
              </w:rPr>
              <w:t xml:space="preserve">Lexis-Nexis was subscribed to the Attorney General’s Office to allow attorneys to do extensive legal research in the absence of a Law Library at the Attorney General’s Office. An in-house library is hoped to be established within the course of 2011 and 2012. </w:t>
            </w:r>
          </w:p>
          <w:p w:rsidR="001E55C3" w:rsidRPr="001E55C3" w:rsidRDefault="001E55C3" w:rsidP="001E55C3">
            <w:pPr>
              <w:pStyle w:val="ListParagraph"/>
              <w:ind w:left="0"/>
              <w:jc w:val="both"/>
              <w:rPr>
                <w:bCs/>
                <w:color w:val="1F497D" w:themeColor="text2"/>
                <w:sz w:val="18"/>
                <w:szCs w:val="18"/>
              </w:rPr>
            </w:pPr>
          </w:p>
        </w:tc>
        <w:tc>
          <w:tcPr>
            <w:tcW w:w="1782" w:type="dxa"/>
          </w:tcPr>
          <w:p w:rsidR="00D1620E" w:rsidRDefault="00A83AD7" w:rsidP="001E34D8">
            <w:pPr>
              <w:pStyle w:val="ListParagraph"/>
              <w:ind w:left="0"/>
            </w:pPr>
            <w:r>
              <w:t>Budgetary limitations</w:t>
            </w:r>
          </w:p>
          <w:p w:rsidR="00A83AD7" w:rsidRDefault="00A83AD7" w:rsidP="001E34D8">
            <w:pPr>
              <w:pStyle w:val="ListParagraph"/>
              <w:ind w:left="0"/>
            </w:pPr>
          </w:p>
          <w:p w:rsidR="00A83AD7" w:rsidRDefault="00A83AD7" w:rsidP="001E34D8">
            <w:pPr>
              <w:pStyle w:val="ListParagraph"/>
              <w:ind w:left="0"/>
            </w:pPr>
            <w:r>
              <w:t>Lack of in-house capacities to organize more programs to build capacities</w:t>
            </w:r>
          </w:p>
        </w:tc>
      </w:tr>
      <w:tr w:rsidR="00D1620E" w:rsidTr="00D1620E">
        <w:trPr>
          <w:trHeight w:val="135"/>
        </w:trPr>
        <w:tc>
          <w:tcPr>
            <w:tcW w:w="384" w:type="dxa"/>
          </w:tcPr>
          <w:p w:rsidR="00D1620E" w:rsidRDefault="00D1620E" w:rsidP="001E34D8">
            <w:pPr>
              <w:pStyle w:val="ListParagraph"/>
              <w:ind w:left="0"/>
            </w:pPr>
            <w:r>
              <w:t>2.</w:t>
            </w:r>
          </w:p>
        </w:tc>
        <w:tc>
          <w:tcPr>
            <w:tcW w:w="3414" w:type="dxa"/>
          </w:tcPr>
          <w:p w:rsidR="00D1620E" w:rsidRDefault="00A83AD7" w:rsidP="001E34D8">
            <w:pPr>
              <w:pStyle w:val="ListParagraph"/>
              <w:ind w:left="0"/>
            </w:pPr>
            <w:r>
              <w:t>Law Reforms Promoted</w:t>
            </w:r>
          </w:p>
        </w:tc>
        <w:tc>
          <w:tcPr>
            <w:tcW w:w="3690" w:type="dxa"/>
          </w:tcPr>
          <w:p w:rsidR="001E55C3" w:rsidRDefault="001E55C3" w:rsidP="001E55C3">
            <w:pPr>
              <w:pStyle w:val="ListParagraph"/>
              <w:ind w:left="0"/>
              <w:jc w:val="both"/>
              <w:rPr>
                <w:bCs/>
                <w:color w:val="1F497D" w:themeColor="text2"/>
                <w:sz w:val="18"/>
                <w:szCs w:val="18"/>
              </w:rPr>
            </w:pPr>
            <w:r>
              <w:rPr>
                <w:bCs/>
                <w:color w:val="1F497D" w:themeColor="text2"/>
                <w:sz w:val="18"/>
                <w:szCs w:val="18"/>
              </w:rPr>
              <w:t xml:space="preserve">Revised set of Laws and Regulations in Maldives will be published by the end of 2011. The work will be outsourced and work is currently in progress. </w:t>
            </w:r>
          </w:p>
          <w:p w:rsidR="001E55C3" w:rsidRDefault="001E55C3" w:rsidP="00A83AD7">
            <w:pPr>
              <w:pStyle w:val="ListParagraph"/>
              <w:ind w:left="0"/>
              <w:jc w:val="both"/>
              <w:rPr>
                <w:bCs/>
                <w:color w:val="1F497D" w:themeColor="text2"/>
                <w:sz w:val="18"/>
                <w:szCs w:val="18"/>
              </w:rPr>
            </w:pPr>
          </w:p>
          <w:p w:rsidR="00D1620E" w:rsidRDefault="00A83AD7" w:rsidP="001E55C3">
            <w:pPr>
              <w:pStyle w:val="ListParagraph"/>
              <w:ind w:left="0"/>
              <w:jc w:val="both"/>
              <w:rPr>
                <w:bCs/>
                <w:color w:val="1F497D" w:themeColor="text2"/>
                <w:sz w:val="18"/>
                <w:szCs w:val="18"/>
              </w:rPr>
            </w:pPr>
            <w:r w:rsidRPr="00894536">
              <w:rPr>
                <w:bCs/>
                <w:color w:val="1F497D" w:themeColor="text2"/>
                <w:sz w:val="18"/>
                <w:szCs w:val="18"/>
              </w:rPr>
              <w:t xml:space="preserve">AGO cases is hoped to be published on the AGO website by the end of 2011. No discussions of a wider law reporting system for the Maldives is yet in place. </w:t>
            </w:r>
          </w:p>
          <w:p w:rsidR="001E55C3" w:rsidRPr="001E55C3" w:rsidRDefault="001E55C3" w:rsidP="001E55C3">
            <w:pPr>
              <w:pStyle w:val="ListParagraph"/>
              <w:ind w:left="0"/>
              <w:jc w:val="both"/>
              <w:rPr>
                <w:bCs/>
                <w:color w:val="1F497D" w:themeColor="text2"/>
                <w:sz w:val="18"/>
                <w:szCs w:val="18"/>
              </w:rPr>
            </w:pPr>
          </w:p>
        </w:tc>
        <w:tc>
          <w:tcPr>
            <w:tcW w:w="1782" w:type="dxa"/>
          </w:tcPr>
          <w:p w:rsidR="00D1620E" w:rsidRDefault="00D1620E" w:rsidP="001E34D8">
            <w:pPr>
              <w:pStyle w:val="ListParagraph"/>
              <w:ind w:left="0"/>
            </w:pPr>
          </w:p>
        </w:tc>
      </w:tr>
      <w:tr w:rsidR="00D1620E" w:rsidTr="00D1620E">
        <w:trPr>
          <w:trHeight w:val="135"/>
        </w:trPr>
        <w:tc>
          <w:tcPr>
            <w:tcW w:w="384" w:type="dxa"/>
          </w:tcPr>
          <w:p w:rsidR="00D1620E" w:rsidRDefault="00D1620E" w:rsidP="001E34D8">
            <w:pPr>
              <w:pStyle w:val="ListParagraph"/>
              <w:ind w:left="0"/>
            </w:pPr>
            <w:r>
              <w:t>3.</w:t>
            </w:r>
          </w:p>
        </w:tc>
        <w:tc>
          <w:tcPr>
            <w:tcW w:w="3414" w:type="dxa"/>
          </w:tcPr>
          <w:p w:rsidR="00D1620E" w:rsidRDefault="00A83AD7" w:rsidP="001E34D8">
            <w:pPr>
              <w:pStyle w:val="ListParagraph"/>
              <w:ind w:left="0"/>
            </w:pPr>
            <w:r>
              <w:t>Expeditious Processing of Court Cases</w:t>
            </w:r>
          </w:p>
        </w:tc>
        <w:tc>
          <w:tcPr>
            <w:tcW w:w="3690" w:type="dxa"/>
          </w:tcPr>
          <w:p w:rsidR="00D1620E" w:rsidRPr="005B6D5A" w:rsidRDefault="00D1620E" w:rsidP="00595B94">
            <w:pPr>
              <w:pStyle w:val="ListParagraph"/>
              <w:ind w:left="0"/>
              <w:rPr>
                <w:color w:val="1F497D" w:themeColor="text2"/>
                <w:sz w:val="18"/>
                <w:szCs w:val="18"/>
              </w:rPr>
            </w:pPr>
          </w:p>
        </w:tc>
        <w:tc>
          <w:tcPr>
            <w:tcW w:w="1782" w:type="dxa"/>
          </w:tcPr>
          <w:p w:rsidR="00D1620E" w:rsidRDefault="00D1620E" w:rsidP="001E34D8">
            <w:pPr>
              <w:pStyle w:val="ListParagraph"/>
              <w:ind w:left="0"/>
            </w:pPr>
          </w:p>
        </w:tc>
      </w:tr>
      <w:tr w:rsidR="00D1620E" w:rsidTr="00D1620E">
        <w:trPr>
          <w:trHeight w:val="135"/>
        </w:trPr>
        <w:tc>
          <w:tcPr>
            <w:tcW w:w="384" w:type="dxa"/>
          </w:tcPr>
          <w:p w:rsidR="00D1620E" w:rsidRDefault="00D1620E" w:rsidP="001E34D8">
            <w:pPr>
              <w:pStyle w:val="ListParagraph"/>
              <w:ind w:left="0"/>
            </w:pPr>
            <w:r>
              <w:t>4.</w:t>
            </w:r>
          </w:p>
        </w:tc>
        <w:tc>
          <w:tcPr>
            <w:tcW w:w="3414" w:type="dxa"/>
          </w:tcPr>
          <w:p w:rsidR="00D1620E" w:rsidRDefault="00A83AD7" w:rsidP="001E34D8">
            <w:pPr>
              <w:pStyle w:val="ListParagraph"/>
              <w:ind w:left="0"/>
            </w:pPr>
            <w:r>
              <w:t>Access to Justice Enhanced</w:t>
            </w:r>
          </w:p>
        </w:tc>
        <w:tc>
          <w:tcPr>
            <w:tcW w:w="3690" w:type="dxa"/>
          </w:tcPr>
          <w:p w:rsidR="00E20CE9" w:rsidRDefault="005B6D5A" w:rsidP="00E20CE9">
            <w:pPr>
              <w:pStyle w:val="ListParagraph"/>
              <w:ind w:left="0"/>
              <w:jc w:val="both"/>
              <w:rPr>
                <w:bCs/>
                <w:color w:val="1F497D" w:themeColor="text2"/>
                <w:sz w:val="18"/>
                <w:szCs w:val="18"/>
              </w:rPr>
            </w:pPr>
            <w:r w:rsidRPr="00894536">
              <w:rPr>
                <w:bCs/>
                <w:color w:val="1F497D" w:themeColor="text2"/>
                <w:sz w:val="18"/>
                <w:szCs w:val="18"/>
              </w:rPr>
              <w:t xml:space="preserve">AGO employed contract </w:t>
            </w:r>
            <w:r w:rsidR="00E20CE9">
              <w:rPr>
                <w:bCs/>
                <w:color w:val="1F497D" w:themeColor="text2"/>
                <w:sz w:val="18"/>
                <w:szCs w:val="18"/>
              </w:rPr>
              <w:t>lawyers</w:t>
            </w:r>
            <w:r w:rsidRPr="00894536">
              <w:rPr>
                <w:bCs/>
                <w:color w:val="1F497D" w:themeColor="text2"/>
                <w:sz w:val="18"/>
                <w:szCs w:val="18"/>
              </w:rPr>
              <w:t xml:space="preserve"> to attend the courts in the islands and atolls in 2009 and 2010. </w:t>
            </w:r>
            <w:r>
              <w:rPr>
                <w:bCs/>
                <w:color w:val="1F497D" w:themeColor="text2"/>
                <w:sz w:val="18"/>
                <w:szCs w:val="18"/>
              </w:rPr>
              <w:t xml:space="preserve">Most of these contract lawyers were from the atoll / island offices and lacked legal training. Due to the difficulties with that system, AGO currently sends its lawyers </w:t>
            </w:r>
            <w:r w:rsidR="00E20CE9">
              <w:rPr>
                <w:bCs/>
                <w:color w:val="1F497D" w:themeColor="text2"/>
                <w:sz w:val="18"/>
                <w:szCs w:val="18"/>
              </w:rPr>
              <w:t>from its office i</w:t>
            </w:r>
            <w:r>
              <w:rPr>
                <w:bCs/>
                <w:color w:val="1F497D" w:themeColor="text2"/>
                <w:sz w:val="18"/>
                <w:szCs w:val="18"/>
              </w:rPr>
              <w:t>n Male to attend court hearings</w:t>
            </w:r>
            <w:r w:rsidR="00E20CE9">
              <w:rPr>
                <w:bCs/>
                <w:color w:val="1F497D" w:themeColor="text2"/>
                <w:sz w:val="18"/>
                <w:szCs w:val="18"/>
              </w:rPr>
              <w:t xml:space="preserve"> in the atolls</w:t>
            </w:r>
            <w:r>
              <w:rPr>
                <w:bCs/>
                <w:color w:val="1F497D" w:themeColor="text2"/>
                <w:sz w:val="18"/>
                <w:szCs w:val="18"/>
              </w:rPr>
              <w:t xml:space="preserve">. </w:t>
            </w:r>
          </w:p>
          <w:p w:rsidR="00E20CE9" w:rsidRDefault="00E20CE9" w:rsidP="00E20CE9">
            <w:pPr>
              <w:pStyle w:val="ListParagraph"/>
              <w:ind w:left="0"/>
              <w:jc w:val="both"/>
              <w:rPr>
                <w:bCs/>
                <w:color w:val="1F497D" w:themeColor="text2"/>
                <w:sz w:val="18"/>
                <w:szCs w:val="18"/>
              </w:rPr>
            </w:pPr>
          </w:p>
          <w:p w:rsidR="00E20CE9" w:rsidRDefault="005B6D5A" w:rsidP="00E20CE9">
            <w:pPr>
              <w:pStyle w:val="ListParagraph"/>
              <w:ind w:left="0"/>
              <w:jc w:val="both"/>
              <w:rPr>
                <w:bCs/>
                <w:color w:val="1F497D" w:themeColor="text2"/>
                <w:sz w:val="18"/>
                <w:szCs w:val="18"/>
              </w:rPr>
            </w:pPr>
            <w:r>
              <w:rPr>
                <w:bCs/>
                <w:color w:val="1F497D" w:themeColor="text2"/>
                <w:sz w:val="18"/>
                <w:szCs w:val="18"/>
              </w:rPr>
              <w:t xml:space="preserve">All cases are 100% attended by AGO attorneys at all levels of courts in Male’, and also in the islands. </w:t>
            </w:r>
          </w:p>
          <w:p w:rsidR="00E20CE9" w:rsidRDefault="00E20CE9" w:rsidP="00E20CE9">
            <w:pPr>
              <w:pStyle w:val="ListParagraph"/>
              <w:ind w:left="0"/>
              <w:jc w:val="both"/>
              <w:rPr>
                <w:bCs/>
                <w:color w:val="1F497D" w:themeColor="text2"/>
                <w:sz w:val="18"/>
                <w:szCs w:val="18"/>
              </w:rPr>
            </w:pPr>
          </w:p>
          <w:p w:rsidR="005B6D5A" w:rsidRDefault="00E20CE9" w:rsidP="00E20CE9">
            <w:pPr>
              <w:pStyle w:val="ListParagraph"/>
              <w:ind w:left="0"/>
              <w:jc w:val="both"/>
              <w:rPr>
                <w:bCs/>
                <w:color w:val="1F497D" w:themeColor="text2"/>
                <w:sz w:val="18"/>
                <w:szCs w:val="18"/>
              </w:rPr>
            </w:pPr>
            <w:r>
              <w:rPr>
                <w:bCs/>
                <w:color w:val="1F497D" w:themeColor="text2"/>
                <w:sz w:val="18"/>
                <w:szCs w:val="18"/>
              </w:rPr>
              <w:t xml:space="preserve">Establishing </w:t>
            </w:r>
            <w:r w:rsidR="005B6D5A">
              <w:rPr>
                <w:bCs/>
                <w:color w:val="1F497D" w:themeColor="text2"/>
                <w:sz w:val="18"/>
                <w:szCs w:val="18"/>
              </w:rPr>
              <w:t xml:space="preserve">Provincial offices of AGO is not a feasible option due to the </w:t>
            </w:r>
            <w:r>
              <w:rPr>
                <w:bCs/>
                <w:color w:val="1F497D" w:themeColor="text2"/>
                <w:sz w:val="18"/>
                <w:szCs w:val="18"/>
              </w:rPr>
              <w:t xml:space="preserve">limited </w:t>
            </w:r>
            <w:r w:rsidR="005B6D5A">
              <w:rPr>
                <w:bCs/>
                <w:color w:val="1F497D" w:themeColor="text2"/>
                <w:sz w:val="18"/>
                <w:szCs w:val="18"/>
              </w:rPr>
              <w:t>number of cases in the island courts. Much so with the establishment of the island and atoll councils, they</w:t>
            </w:r>
            <w:r>
              <w:rPr>
                <w:bCs/>
                <w:color w:val="1F497D" w:themeColor="text2"/>
                <w:sz w:val="18"/>
                <w:szCs w:val="18"/>
              </w:rPr>
              <w:t xml:space="preserve"> have the statutory mandate to receive and lodge claims in any court of law in the Maldives. </w:t>
            </w:r>
            <w:r w:rsidR="005B6D5A">
              <w:rPr>
                <w:bCs/>
                <w:color w:val="1F497D" w:themeColor="text2"/>
                <w:sz w:val="18"/>
                <w:szCs w:val="18"/>
              </w:rPr>
              <w:t xml:space="preserve"> </w:t>
            </w:r>
          </w:p>
          <w:p w:rsidR="005B6D5A" w:rsidRDefault="005B6D5A" w:rsidP="005B6D5A">
            <w:pPr>
              <w:pStyle w:val="ListParagraph"/>
              <w:ind w:left="0"/>
              <w:jc w:val="both"/>
              <w:rPr>
                <w:bCs/>
                <w:color w:val="1F497D" w:themeColor="text2"/>
                <w:sz w:val="18"/>
                <w:szCs w:val="18"/>
              </w:rPr>
            </w:pPr>
          </w:p>
          <w:p w:rsidR="00D1620E" w:rsidRPr="005B6D5A" w:rsidRDefault="005B6D5A" w:rsidP="005B6D5A">
            <w:pPr>
              <w:pStyle w:val="ListParagraph"/>
              <w:ind w:left="0"/>
              <w:jc w:val="both"/>
              <w:rPr>
                <w:bCs/>
                <w:color w:val="1F497D" w:themeColor="text2"/>
                <w:sz w:val="18"/>
                <w:szCs w:val="18"/>
              </w:rPr>
            </w:pPr>
            <w:r>
              <w:rPr>
                <w:bCs/>
                <w:color w:val="1F497D" w:themeColor="text2"/>
                <w:sz w:val="18"/>
                <w:szCs w:val="18"/>
              </w:rPr>
              <w:t xml:space="preserve">Since 2009, AGO provides legal aid in a limited number of cases, under a legal aid rule. This rule is an administrative guide used by AGO and is not a regulation. The Legal Aid Bill is expected to be drafted and submitted to the Parliament within the second quarter of Parliament 2011. The legislation will establish the independent public defender’s office. </w:t>
            </w:r>
          </w:p>
        </w:tc>
        <w:tc>
          <w:tcPr>
            <w:tcW w:w="1782" w:type="dxa"/>
          </w:tcPr>
          <w:p w:rsidR="00D1620E" w:rsidRDefault="00D1620E" w:rsidP="001E34D8">
            <w:pPr>
              <w:pStyle w:val="ListParagraph"/>
              <w:ind w:left="0"/>
            </w:pPr>
          </w:p>
        </w:tc>
      </w:tr>
      <w:tr w:rsidR="00D1620E" w:rsidTr="00D1620E">
        <w:trPr>
          <w:trHeight w:val="135"/>
        </w:trPr>
        <w:tc>
          <w:tcPr>
            <w:tcW w:w="384" w:type="dxa"/>
          </w:tcPr>
          <w:p w:rsidR="00D1620E" w:rsidRDefault="00D1620E" w:rsidP="001E34D8">
            <w:pPr>
              <w:pStyle w:val="ListParagraph"/>
              <w:ind w:left="0"/>
            </w:pPr>
            <w:r>
              <w:t>5.</w:t>
            </w:r>
          </w:p>
        </w:tc>
        <w:tc>
          <w:tcPr>
            <w:tcW w:w="3414" w:type="dxa"/>
          </w:tcPr>
          <w:p w:rsidR="00D1620E" w:rsidRDefault="00A83AD7" w:rsidP="001E34D8">
            <w:pPr>
              <w:pStyle w:val="ListParagraph"/>
              <w:ind w:left="0"/>
            </w:pPr>
            <w:r>
              <w:t>Enhanced awareness of Legal/Judicial process among the public</w:t>
            </w:r>
          </w:p>
        </w:tc>
        <w:tc>
          <w:tcPr>
            <w:tcW w:w="3690" w:type="dxa"/>
          </w:tcPr>
          <w:p w:rsidR="00D1620E" w:rsidRDefault="00D1620E" w:rsidP="001E34D8">
            <w:pPr>
              <w:pStyle w:val="ListParagraph"/>
              <w:ind w:left="0"/>
            </w:pPr>
          </w:p>
        </w:tc>
        <w:tc>
          <w:tcPr>
            <w:tcW w:w="1782" w:type="dxa"/>
          </w:tcPr>
          <w:p w:rsidR="00D1620E" w:rsidRDefault="00D1620E" w:rsidP="001E34D8">
            <w:pPr>
              <w:pStyle w:val="ListParagraph"/>
              <w:ind w:left="0"/>
            </w:pPr>
          </w:p>
        </w:tc>
      </w:tr>
      <w:tr w:rsidR="00D1620E" w:rsidTr="00D1620E">
        <w:trPr>
          <w:trHeight w:val="135"/>
        </w:trPr>
        <w:tc>
          <w:tcPr>
            <w:tcW w:w="384" w:type="dxa"/>
          </w:tcPr>
          <w:p w:rsidR="00D1620E" w:rsidRDefault="00D1620E" w:rsidP="001E34D8">
            <w:pPr>
              <w:pStyle w:val="ListParagraph"/>
              <w:ind w:left="0"/>
            </w:pPr>
            <w:r>
              <w:t>6.</w:t>
            </w:r>
          </w:p>
        </w:tc>
        <w:tc>
          <w:tcPr>
            <w:tcW w:w="3414" w:type="dxa"/>
          </w:tcPr>
          <w:p w:rsidR="00D1620E" w:rsidRDefault="00A83AD7" w:rsidP="001E34D8">
            <w:pPr>
              <w:pStyle w:val="ListParagraph"/>
              <w:ind w:left="0"/>
            </w:pPr>
            <w:r>
              <w:t>Accountability of law enforcement agencies, legal sector and judiciary increased and mechanism established for public to file complaints</w:t>
            </w:r>
          </w:p>
        </w:tc>
        <w:tc>
          <w:tcPr>
            <w:tcW w:w="3690" w:type="dxa"/>
          </w:tcPr>
          <w:p w:rsidR="00D1620E" w:rsidRDefault="00D1620E" w:rsidP="001E34D8">
            <w:pPr>
              <w:pStyle w:val="ListParagraph"/>
              <w:ind w:left="0"/>
            </w:pPr>
          </w:p>
        </w:tc>
        <w:tc>
          <w:tcPr>
            <w:tcW w:w="1782" w:type="dxa"/>
          </w:tcPr>
          <w:p w:rsidR="00D1620E" w:rsidRDefault="00D1620E" w:rsidP="001E34D8">
            <w:pPr>
              <w:pStyle w:val="ListParagraph"/>
              <w:ind w:left="0"/>
            </w:pPr>
          </w:p>
        </w:tc>
      </w:tr>
      <w:tr w:rsidR="00A83AD7" w:rsidTr="00D1620E">
        <w:trPr>
          <w:trHeight w:val="135"/>
        </w:trPr>
        <w:tc>
          <w:tcPr>
            <w:tcW w:w="384" w:type="dxa"/>
          </w:tcPr>
          <w:p w:rsidR="00A83AD7" w:rsidRDefault="00A83AD7" w:rsidP="001E34D8">
            <w:pPr>
              <w:pStyle w:val="ListParagraph"/>
              <w:ind w:left="0"/>
            </w:pPr>
            <w:r>
              <w:t>7.</w:t>
            </w:r>
          </w:p>
        </w:tc>
        <w:tc>
          <w:tcPr>
            <w:tcW w:w="3414" w:type="dxa"/>
          </w:tcPr>
          <w:p w:rsidR="00A83AD7" w:rsidRDefault="00A83AD7" w:rsidP="00B82B27">
            <w:pPr>
              <w:pStyle w:val="ListParagraph"/>
              <w:ind w:left="0"/>
            </w:pPr>
            <w:r>
              <w:t>Interagency coordination between law enforcement, legal and judicial institutions established</w:t>
            </w:r>
          </w:p>
        </w:tc>
        <w:tc>
          <w:tcPr>
            <w:tcW w:w="3690" w:type="dxa"/>
          </w:tcPr>
          <w:p w:rsidR="00A83AD7" w:rsidRDefault="00A83AD7" w:rsidP="00B82B27">
            <w:pPr>
              <w:pStyle w:val="ListParagraph"/>
              <w:ind w:left="0"/>
            </w:pPr>
          </w:p>
        </w:tc>
        <w:tc>
          <w:tcPr>
            <w:tcW w:w="1782" w:type="dxa"/>
          </w:tcPr>
          <w:p w:rsidR="00A83AD7" w:rsidRDefault="00A83AD7" w:rsidP="001E34D8">
            <w:pPr>
              <w:pStyle w:val="ListParagraph"/>
              <w:ind w:left="0"/>
            </w:pPr>
          </w:p>
        </w:tc>
      </w:tr>
      <w:tr w:rsidR="00A83AD7" w:rsidTr="00D1620E">
        <w:trPr>
          <w:trHeight w:val="135"/>
        </w:trPr>
        <w:tc>
          <w:tcPr>
            <w:tcW w:w="384" w:type="dxa"/>
          </w:tcPr>
          <w:p w:rsidR="00A83AD7" w:rsidRDefault="00A83AD7" w:rsidP="001E34D8">
            <w:pPr>
              <w:pStyle w:val="ListParagraph"/>
              <w:ind w:left="0"/>
            </w:pPr>
            <w:r>
              <w:t>8.</w:t>
            </w:r>
          </w:p>
        </w:tc>
        <w:tc>
          <w:tcPr>
            <w:tcW w:w="3414" w:type="dxa"/>
          </w:tcPr>
          <w:p w:rsidR="00A83AD7" w:rsidRDefault="00A83AD7" w:rsidP="001E34D8">
            <w:pPr>
              <w:pStyle w:val="ListParagraph"/>
              <w:ind w:left="0"/>
            </w:pPr>
            <w:r>
              <w:t>Law enforcement agencies reformed to respond to increased criminal offences and to address emerging law and order situations</w:t>
            </w:r>
          </w:p>
        </w:tc>
        <w:tc>
          <w:tcPr>
            <w:tcW w:w="3690" w:type="dxa"/>
          </w:tcPr>
          <w:p w:rsidR="00A83AD7" w:rsidRDefault="00A83AD7" w:rsidP="001E34D8">
            <w:pPr>
              <w:pStyle w:val="ListParagraph"/>
              <w:ind w:left="0"/>
            </w:pPr>
          </w:p>
        </w:tc>
        <w:tc>
          <w:tcPr>
            <w:tcW w:w="1782" w:type="dxa"/>
          </w:tcPr>
          <w:p w:rsidR="00A83AD7" w:rsidRDefault="00A83AD7" w:rsidP="001E34D8">
            <w:pPr>
              <w:pStyle w:val="ListParagraph"/>
              <w:ind w:left="0"/>
            </w:pPr>
          </w:p>
        </w:tc>
      </w:tr>
      <w:tr w:rsidR="00A83AD7" w:rsidTr="00D1620E">
        <w:trPr>
          <w:trHeight w:val="135"/>
        </w:trPr>
        <w:tc>
          <w:tcPr>
            <w:tcW w:w="384" w:type="dxa"/>
          </w:tcPr>
          <w:p w:rsidR="00A83AD7" w:rsidRDefault="00A83AD7" w:rsidP="001E34D8">
            <w:pPr>
              <w:pStyle w:val="ListParagraph"/>
              <w:ind w:left="0"/>
            </w:pPr>
            <w:r>
              <w:t>9.</w:t>
            </w:r>
          </w:p>
        </w:tc>
        <w:tc>
          <w:tcPr>
            <w:tcW w:w="3414" w:type="dxa"/>
          </w:tcPr>
          <w:p w:rsidR="00A83AD7" w:rsidRDefault="001F669D" w:rsidP="001F669D">
            <w:pPr>
              <w:pStyle w:val="ListParagraph"/>
              <w:ind w:left="0"/>
            </w:pPr>
            <w:r>
              <w:t>Evidence based investigation, prosecution and sentencing, increased</w:t>
            </w:r>
          </w:p>
        </w:tc>
        <w:tc>
          <w:tcPr>
            <w:tcW w:w="3690" w:type="dxa"/>
          </w:tcPr>
          <w:p w:rsidR="00A83AD7" w:rsidRDefault="00A83AD7" w:rsidP="001E34D8">
            <w:pPr>
              <w:pStyle w:val="ListParagraph"/>
              <w:ind w:left="0"/>
            </w:pPr>
          </w:p>
        </w:tc>
        <w:tc>
          <w:tcPr>
            <w:tcW w:w="1782" w:type="dxa"/>
          </w:tcPr>
          <w:p w:rsidR="00A83AD7" w:rsidRDefault="00A83AD7" w:rsidP="001E34D8">
            <w:pPr>
              <w:pStyle w:val="ListParagraph"/>
              <w:ind w:left="0"/>
            </w:pPr>
          </w:p>
        </w:tc>
      </w:tr>
    </w:tbl>
    <w:p w:rsidR="00D1620E" w:rsidRDefault="00D1620E" w:rsidP="008526AE">
      <w:pPr>
        <w:pStyle w:val="ListParagraph"/>
        <w:ind w:left="450"/>
      </w:pPr>
    </w:p>
    <w:p w:rsidR="00D1620E" w:rsidRDefault="00D1620E" w:rsidP="008526AE">
      <w:pPr>
        <w:pStyle w:val="ListParagraph"/>
        <w:ind w:left="450"/>
      </w:pPr>
    </w:p>
    <w:p w:rsidR="00692C45" w:rsidRDefault="00692C45" w:rsidP="00A8036E">
      <w:pPr>
        <w:pStyle w:val="ListParagraph"/>
        <w:numPr>
          <w:ilvl w:val="1"/>
          <w:numId w:val="4"/>
        </w:numPr>
        <w:ind w:left="810"/>
        <w:rPr>
          <w:b/>
        </w:rPr>
      </w:pPr>
      <w:r w:rsidRPr="00A8036E">
        <w:rPr>
          <w:b/>
        </w:rPr>
        <w:lastRenderedPageBreak/>
        <w:t>Institution</w:t>
      </w:r>
      <w:r w:rsidR="00A8036E" w:rsidRPr="00A8036E">
        <w:rPr>
          <w:b/>
        </w:rPr>
        <w:t xml:space="preserve">al </w:t>
      </w:r>
      <w:r w:rsidR="00D1620E" w:rsidRPr="00A8036E">
        <w:rPr>
          <w:b/>
        </w:rPr>
        <w:t xml:space="preserve">Achievements in relation to </w:t>
      </w:r>
      <w:r w:rsidRPr="00A8036E">
        <w:rPr>
          <w:b/>
        </w:rPr>
        <w:t>the Sector</w:t>
      </w:r>
      <w:r w:rsidR="00D1620E" w:rsidRPr="00A8036E">
        <w:rPr>
          <w:b/>
        </w:rPr>
        <w:t xml:space="preserve"> Outcomes</w:t>
      </w:r>
    </w:p>
    <w:p w:rsidR="00A8036E" w:rsidRPr="0007674A" w:rsidRDefault="00A8036E" w:rsidP="0007674A">
      <w:pPr>
        <w:pStyle w:val="ListParagraph"/>
        <w:ind w:left="450" w:firstLine="270"/>
        <w:rPr>
          <w:b/>
          <w:sz w:val="18"/>
          <w:szCs w:val="18"/>
        </w:rPr>
      </w:pPr>
      <w:r w:rsidRPr="0007674A">
        <w:rPr>
          <w:b/>
          <w:sz w:val="18"/>
          <w:szCs w:val="18"/>
        </w:rPr>
        <w:t>{</w:t>
      </w:r>
      <w:r w:rsidR="00196C12">
        <w:rPr>
          <w:b/>
          <w:sz w:val="18"/>
          <w:szCs w:val="18"/>
        </w:rPr>
        <w:t>Briefly d</w:t>
      </w:r>
      <w:r w:rsidRPr="00A8036E">
        <w:rPr>
          <w:b/>
          <w:i/>
          <w:sz w:val="18"/>
          <w:szCs w:val="18"/>
        </w:rPr>
        <w:t xml:space="preserve">escribe </w:t>
      </w:r>
      <w:r>
        <w:rPr>
          <w:b/>
          <w:i/>
          <w:sz w:val="18"/>
          <w:szCs w:val="18"/>
        </w:rPr>
        <w:t>t</w:t>
      </w:r>
      <w:r w:rsidRPr="00A8036E">
        <w:rPr>
          <w:b/>
          <w:i/>
          <w:sz w:val="18"/>
          <w:szCs w:val="18"/>
        </w:rPr>
        <w:t>he role of key institutions in relation to the key sector outcomes and their achievement</w:t>
      </w:r>
      <w:r>
        <w:rPr>
          <w:b/>
          <w:i/>
          <w:sz w:val="18"/>
          <w:szCs w:val="18"/>
        </w:rPr>
        <w:t>s</w:t>
      </w:r>
      <w:r w:rsidRPr="0007674A">
        <w:rPr>
          <w:b/>
          <w:sz w:val="18"/>
          <w:szCs w:val="18"/>
        </w:rPr>
        <w:t>}</w:t>
      </w:r>
    </w:p>
    <w:p w:rsidR="0007674A" w:rsidRPr="00A8036E" w:rsidRDefault="0007674A" w:rsidP="0007674A">
      <w:pPr>
        <w:pStyle w:val="ListParagraph"/>
        <w:ind w:left="450" w:firstLine="270"/>
        <w:rPr>
          <w:b/>
          <w:i/>
          <w:sz w:val="18"/>
          <w:szCs w:val="18"/>
        </w:rPr>
      </w:pPr>
    </w:p>
    <w:tbl>
      <w:tblPr>
        <w:tblStyle w:val="TableGrid"/>
        <w:tblW w:w="9270" w:type="dxa"/>
        <w:tblInd w:w="540" w:type="dxa"/>
        <w:tblLayout w:type="fixed"/>
        <w:tblLook w:val="04A0"/>
      </w:tblPr>
      <w:tblGrid>
        <w:gridCol w:w="384"/>
        <w:gridCol w:w="3324"/>
        <w:gridCol w:w="2700"/>
        <w:gridCol w:w="2862"/>
      </w:tblGrid>
      <w:tr w:rsidR="00692C45" w:rsidTr="00D1620E">
        <w:trPr>
          <w:trHeight w:val="547"/>
        </w:trPr>
        <w:tc>
          <w:tcPr>
            <w:tcW w:w="3708" w:type="dxa"/>
            <w:gridSpan w:val="2"/>
          </w:tcPr>
          <w:p w:rsidR="00692C45" w:rsidRDefault="00692C45" w:rsidP="00692C45">
            <w:pPr>
              <w:pStyle w:val="ListParagraph"/>
              <w:ind w:left="0"/>
              <w:jc w:val="center"/>
            </w:pPr>
            <w:r>
              <w:t>Name of Institution(s)</w:t>
            </w:r>
          </w:p>
        </w:tc>
        <w:tc>
          <w:tcPr>
            <w:tcW w:w="2700" w:type="dxa"/>
          </w:tcPr>
          <w:p w:rsidR="00692C45" w:rsidRDefault="00692C45" w:rsidP="00692C45">
            <w:pPr>
              <w:pStyle w:val="ListParagraph"/>
              <w:ind w:left="0"/>
              <w:jc w:val="center"/>
            </w:pPr>
            <w:r>
              <w:t>Major Responsibilities</w:t>
            </w:r>
            <w:r w:rsidR="00E44888">
              <w:t xml:space="preserve"> towards outcomes</w:t>
            </w:r>
          </w:p>
        </w:tc>
        <w:tc>
          <w:tcPr>
            <w:tcW w:w="2862" w:type="dxa"/>
          </w:tcPr>
          <w:p w:rsidR="00692C45" w:rsidRDefault="0061189E" w:rsidP="001E34D8">
            <w:pPr>
              <w:pStyle w:val="ListParagraph"/>
              <w:ind w:left="0"/>
              <w:jc w:val="center"/>
            </w:pPr>
            <w:r>
              <w:t>Achievement</w:t>
            </w:r>
          </w:p>
        </w:tc>
      </w:tr>
      <w:tr w:rsidR="00692C45" w:rsidTr="00D1620E">
        <w:trPr>
          <w:trHeight w:val="135"/>
        </w:trPr>
        <w:tc>
          <w:tcPr>
            <w:tcW w:w="384" w:type="dxa"/>
          </w:tcPr>
          <w:p w:rsidR="00692C45" w:rsidRDefault="00692C45" w:rsidP="001E34D8">
            <w:pPr>
              <w:pStyle w:val="ListParagraph"/>
              <w:ind w:left="0"/>
            </w:pPr>
            <w:r>
              <w:t>1.</w:t>
            </w:r>
          </w:p>
        </w:tc>
        <w:tc>
          <w:tcPr>
            <w:tcW w:w="3324" w:type="dxa"/>
          </w:tcPr>
          <w:p w:rsidR="00692C45" w:rsidRDefault="00692C45" w:rsidP="001E34D8">
            <w:pPr>
              <w:pStyle w:val="ListParagraph"/>
              <w:ind w:left="0"/>
            </w:pPr>
          </w:p>
        </w:tc>
        <w:tc>
          <w:tcPr>
            <w:tcW w:w="2700" w:type="dxa"/>
          </w:tcPr>
          <w:p w:rsidR="00692C45" w:rsidRDefault="00692C45" w:rsidP="001E34D8">
            <w:pPr>
              <w:pStyle w:val="ListParagraph"/>
              <w:ind w:left="0"/>
            </w:pPr>
          </w:p>
        </w:tc>
        <w:tc>
          <w:tcPr>
            <w:tcW w:w="2862" w:type="dxa"/>
          </w:tcPr>
          <w:p w:rsidR="00692C45" w:rsidRDefault="00692C45" w:rsidP="001E34D8">
            <w:pPr>
              <w:pStyle w:val="ListParagraph"/>
              <w:ind w:left="0"/>
            </w:pPr>
          </w:p>
        </w:tc>
      </w:tr>
      <w:tr w:rsidR="00692C45" w:rsidTr="00D1620E">
        <w:trPr>
          <w:trHeight w:val="135"/>
        </w:trPr>
        <w:tc>
          <w:tcPr>
            <w:tcW w:w="384" w:type="dxa"/>
          </w:tcPr>
          <w:p w:rsidR="00692C45" w:rsidRDefault="00692C45" w:rsidP="001E34D8">
            <w:pPr>
              <w:pStyle w:val="ListParagraph"/>
              <w:ind w:left="0"/>
            </w:pPr>
            <w:r>
              <w:t>2.</w:t>
            </w:r>
          </w:p>
        </w:tc>
        <w:tc>
          <w:tcPr>
            <w:tcW w:w="3324" w:type="dxa"/>
          </w:tcPr>
          <w:p w:rsidR="00692C45" w:rsidRDefault="00692C45" w:rsidP="001E34D8">
            <w:pPr>
              <w:pStyle w:val="ListParagraph"/>
              <w:ind w:left="0"/>
            </w:pPr>
          </w:p>
        </w:tc>
        <w:tc>
          <w:tcPr>
            <w:tcW w:w="2700" w:type="dxa"/>
          </w:tcPr>
          <w:p w:rsidR="00692C45" w:rsidRDefault="00692C45" w:rsidP="001E34D8">
            <w:pPr>
              <w:pStyle w:val="ListParagraph"/>
              <w:ind w:left="0"/>
            </w:pPr>
          </w:p>
        </w:tc>
        <w:tc>
          <w:tcPr>
            <w:tcW w:w="2862" w:type="dxa"/>
          </w:tcPr>
          <w:p w:rsidR="00692C45" w:rsidRDefault="00692C45" w:rsidP="001E34D8">
            <w:pPr>
              <w:pStyle w:val="ListParagraph"/>
              <w:ind w:left="0"/>
            </w:pPr>
          </w:p>
        </w:tc>
      </w:tr>
      <w:tr w:rsidR="00692C45" w:rsidTr="00D1620E">
        <w:trPr>
          <w:trHeight w:val="135"/>
        </w:trPr>
        <w:tc>
          <w:tcPr>
            <w:tcW w:w="384" w:type="dxa"/>
          </w:tcPr>
          <w:p w:rsidR="00692C45" w:rsidRDefault="00692C45" w:rsidP="001E34D8">
            <w:pPr>
              <w:pStyle w:val="ListParagraph"/>
              <w:ind w:left="0"/>
            </w:pPr>
            <w:r>
              <w:t>3.</w:t>
            </w:r>
          </w:p>
        </w:tc>
        <w:tc>
          <w:tcPr>
            <w:tcW w:w="3324" w:type="dxa"/>
          </w:tcPr>
          <w:p w:rsidR="00692C45" w:rsidRDefault="00692C45" w:rsidP="001E34D8">
            <w:pPr>
              <w:pStyle w:val="ListParagraph"/>
              <w:ind w:left="0"/>
            </w:pPr>
          </w:p>
        </w:tc>
        <w:tc>
          <w:tcPr>
            <w:tcW w:w="2700" w:type="dxa"/>
          </w:tcPr>
          <w:p w:rsidR="00692C45" w:rsidRDefault="00692C45" w:rsidP="001E34D8">
            <w:pPr>
              <w:pStyle w:val="ListParagraph"/>
              <w:ind w:left="0"/>
            </w:pPr>
          </w:p>
        </w:tc>
        <w:tc>
          <w:tcPr>
            <w:tcW w:w="2862" w:type="dxa"/>
          </w:tcPr>
          <w:p w:rsidR="00692C45" w:rsidRDefault="00692C45" w:rsidP="001E34D8">
            <w:pPr>
              <w:pStyle w:val="ListParagraph"/>
              <w:ind w:left="0"/>
            </w:pPr>
          </w:p>
        </w:tc>
      </w:tr>
      <w:tr w:rsidR="00692C45" w:rsidTr="00D1620E">
        <w:trPr>
          <w:trHeight w:val="135"/>
        </w:trPr>
        <w:tc>
          <w:tcPr>
            <w:tcW w:w="384" w:type="dxa"/>
          </w:tcPr>
          <w:p w:rsidR="00692C45" w:rsidRDefault="00692C45" w:rsidP="001E34D8">
            <w:pPr>
              <w:pStyle w:val="ListParagraph"/>
              <w:ind w:left="0"/>
            </w:pPr>
            <w:r>
              <w:t>4.</w:t>
            </w:r>
          </w:p>
        </w:tc>
        <w:tc>
          <w:tcPr>
            <w:tcW w:w="3324" w:type="dxa"/>
          </w:tcPr>
          <w:p w:rsidR="00692C45" w:rsidRDefault="00692C45" w:rsidP="001E34D8">
            <w:pPr>
              <w:pStyle w:val="ListParagraph"/>
              <w:ind w:left="0"/>
            </w:pPr>
          </w:p>
        </w:tc>
        <w:tc>
          <w:tcPr>
            <w:tcW w:w="2700" w:type="dxa"/>
          </w:tcPr>
          <w:p w:rsidR="00692C45" w:rsidRDefault="00692C45" w:rsidP="001E34D8">
            <w:pPr>
              <w:pStyle w:val="ListParagraph"/>
              <w:ind w:left="0"/>
            </w:pPr>
          </w:p>
        </w:tc>
        <w:tc>
          <w:tcPr>
            <w:tcW w:w="2862" w:type="dxa"/>
          </w:tcPr>
          <w:p w:rsidR="00692C45" w:rsidRDefault="00692C45" w:rsidP="001E34D8">
            <w:pPr>
              <w:pStyle w:val="ListParagraph"/>
              <w:ind w:left="0"/>
            </w:pPr>
          </w:p>
        </w:tc>
      </w:tr>
      <w:tr w:rsidR="00D1620E" w:rsidTr="00D1620E">
        <w:trPr>
          <w:trHeight w:val="135"/>
        </w:trPr>
        <w:tc>
          <w:tcPr>
            <w:tcW w:w="384" w:type="dxa"/>
          </w:tcPr>
          <w:p w:rsidR="00D1620E" w:rsidRDefault="00D1620E" w:rsidP="001E34D8">
            <w:pPr>
              <w:pStyle w:val="ListParagraph"/>
              <w:ind w:left="0"/>
            </w:pPr>
            <w:r>
              <w:t>5.</w:t>
            </w:r>
          </w:p>
        </w:tc>
        <w:tc>
          <w:tcPr>
            <w:tcW w:w="3324" w:type="dxa"/>
          </w:tcPr>
          <w:p w:rsidR="00D1620E" w:rsidRDefault="00D1620E" w:rsidP="001E34D8">
            <w:pPr>
              <w:pStyle w:val="ListParagraph"/>
              <w:ind w:left="0"/>
            </w:pPr>
          </w:p>
        </w:tc>
        <w:tc>
          <w:tcPr>
            <w:tcW w:w="2700" w:type="dxa"/>
          </w:tcPr>
          <w:p w:rsidR="00D1620E" w:rsidRDefault="00D1620E" w:rsidP="001E34D8">
            <w:pPr>
              <w:pStyle w:val="ListParagraph"/>
              <w:ind w:left="0"/>
            </w:pPr>
          </w:p>
        </w:tc>
        <w:tc>
          <w:tcPr>
            <w:tcW w:w="2862" w:type="dxa"/>
          </w:tcPr>
          <w:p w:rsidR="00D1620E" w:rsidRDefault="00D1620E" w:rsidP="001E34D8">
            <w:pPr>
              <w:pStyle w:val="ListParagraph"/>
              <w:ind w:left="0"/>
            </w:pPr>
          </w:p>
        </w:tc>
      </w:tr>
    </w:tbl>
    <w:p w:rsidR="00692C45" w:rsidRDefault="00692C45" w:rsidP="008526AE">
      <w:pPr>
        <w:pStyle w:val="ListParagraph"/>
        <w:ind w:left="450"/>
      </w:pPr>
    </w:p>
    <w:p w:rsidR="0007674A" w:rsidRDefault="0007674A" w:rsidP="008526AE">
      <w:pPr>
        <w:pStyle w:val="ListParagraph"/>
        <w:ind w:left="450"/>
      </w:pPr>
    </w:p>
    <w:p w:rsidR="008526AE" w:rsidRPr="007122D6" w:rsidRDefault="0061189E" w:rsidP="007122D6">
      <w:pPr>
        <w:pStyle w:val="ListParagraph"/>
        <w:numPr>
          <w:ilvl w:val="0"/>
          <w:numId w:val="4"/>
        </w:numPr>
        <w:rPr>
          <w:b/>
        </w:rPr>
      </w:pPr>
      <w:r w:rsidRPr="007122D6">
        <w:rPr>
          <w:b/>
        </w:rPr>
        <w:t xml:space="preserve">Overall </w:t>
      </w:r>
      <w:r w:rsidR="0005451C" w:rsidRPr="007122D6">
        <w:rPr>
          <w:b/>
        </w:rPr>
        <w:t>Assessment</w:t>
      </w:r>
      <w:r w:rsidR="00BC3ACF" w:rsidRPr="007122D6">
        <w:rPr>
          <w:b/>
        </w:rPr>
        <w:t xml:space="preserve"> of Sector</w:t>
      </w:r>
      <w:r w:rsidR="00D378A4" w:rsidRPr="007122D6">
        <w:rPr>
          <w:b/>
        </w:rPr>
        <w:t xml:space="preserve"> Performance related to key aspects </w:t>
      </w:r>
      <w:r w:rsidR="00D1620E" w:rsidRPr="007122D6">
        <w:rPr>
          <w:b/>
        </w:rPr>
        <w:t xml:space="preserve"> </w:t>
      </w:r>
    </w:p>
    <w:tbl>
      <w:tblPr>
        <w:tblStyle w:val="TableGrid"/>
        <w:tblW w:w="9315" w:type="dxa"/>
        <w:tblInd w:w="558" w:type="dxa"/>
        <w:tblLook w:val="04A0"/>
      </w:tblPr>
      <w:tblGrid>
        <w:gridCol w:w="9315"/>
      </w:tblGrid>
      <w:tr w:rsidR="007122D6" w:rsidTr="00D00264">
        <w:trPr>
          <w:trHeight w:val="758"/>
        </w:trPr>
        <w:tc>
          <w:tcPr>
            <w:tcW w:w="9315" w:type="dxa"/>
          </w:tcPr>
          <w:p w:rsidR="007122D6" w:rsidRDefault="007122D6" w:rsidP="007122D6">
            <w:r w:rsidRPr="007122D6">
              <w:t>Operation</w:t>
            </w:r>
            <w:r>
              <w:t xml:space="preserve">al </w:t>
            </w:r>
            <w:r w:rsidRPr="007122D6">
              <w:t xml:space="preserve"> Progress</w:t>
            </w:r>
            <w:r>
              <w:t xml:space="preserve"> </w:t>
            </w:r>
            <w:r w:rsidR="00123ADC">
              <w:t>(</w:t>
            </w:r>
            <w:r w:rsidR="009F666C">
              <w:t>3</w:t>
            </w:r>
            <w:r w:rsidR="00123ADC">
              <w:t>00 words)</w:t>
            </w:r>
          </w:p>
          <w:p w:rsidR="007122D6" w:rsidRPr="00B45BC2" w:rsidRDefault="007122D6" w:rsidP="00B45BC2">
            <w:pPr>
              <w:rPr>
                <w:b/>
                <w:i/>
                <w:iCs/>
                <w:sz w:val="18"/>
                <w:szCs w:val="18"/>
              </w:rPr>
            </w:pPr>
            <w:r w:rsidRPr="00B45BC2">
              <w:rPr>
                <w:b/>
                <w:i/>
                <w:iCs/>
                <w:sz w:val="18"/>
                <w:szCs w:val="18"/>
              </w:rPr>
              <w:t>{Explain the Extent to which implementation was carried out as envisaged by the Strategies / Intervention List of the SAP. If there were any deviations why was this and what where they}</w:t>
            </w:r>
          </w:p>
        </w:tc>
      </w:tr>
      <w:tr w:rsidR="007122D6" w:rsidTr="00D00264">
        <w:trPr>
          <w:trHeight w:val="1744"/>
        </w:trPr>
        <w:tc>
          <w:tcPr>
            <w:tcW w:w="9315" w:type="dxa"/>
          </w:tcPr>
          <w:p w:rsidR="0078450A" w:rsidRDefault="0078450A" w:rsidP="007122D6">
            <w:pPr>
              <w:rPr>
                <w:bCs/>
              </w:rPr>
            </w:pPr>
          </w:p>
          <w:p w:rsidR="007122D6" w:rsidRPr="00B159F6" w:rsidRDefault="0078450A" w:rsidP="0078450A">
            <w:pPr>
              <w:rPr>
                <w:bCs/>
                <w:color w:val="1F497D" w:themeColor="text2"/>
                <w:sz w:val="18"/>
                <w:szCs w:val="18"/>
              </w:rPr>
            </w:pPr>
            <w:r w:rsidRPr="00B159F6">
              <w:rPr>
                <w:bCs/>
                <w:color w:val="1F497D" w:themeColor="text2"/>
                <w:sz w:val="18"/>
                <w:szCs w:val="18"/>
              </w:rPr>
              <w:t xml:space="preserve">Limited Implementation of the strategies / intervention list due to lack of in-house capacity and budget. </w:t>
            </w:r>
          </w:p>
        </w:tc>
      </w:tr>
      <w:tr w:rsidR="007122D6" w:rsidTr="00D00264">
        <w:trPr>
          <w:trHeight w:val="308"/>
        </w:trPr>
        <w:tc>
          <w:tcPr>
            <w:tcW w:w="9315" w:type="dxa"/>
          </w:tcPr>
          <w:p w:rsidR="007122D6" w:rsidRDefault="007122D6" w:rsidP="007122D6">
            <w:r w:rsidRPr="007122D6">
              <w:t>Financial Performance</w:t>
            </w:r>
            <w:r w:rsidR="00123ADC">
              <w:t xml:space="preserve"> (</w:t>
            </w:r>
            <w:r w:rsidR="009F666C">
              <w:t>2</w:t>
            </w:r>
            <w:r w:rsidR="00123ADC">
              <w:t>00 words)</w:t>
            </w:r>
          </w:p>
          <w:p w:rsidR="007122D6" w:rsidRPr="007122D6" w:rsidRDefault="007122D6" w:rsidP="007122D6">
            <w:r w:rsidRPr="007122D6">
              <w:rPr>
                <w:b/>
                <w:sz w:val="18"/>
                <w:szCs w:val="18"/>
              </w:rPr>
              <w:t>{</w:t>
            </w:r>
            <w:r>
              <w:rPr>
                <w:b/>
                <w:i/>
                <w:sz w:val="18"/>
                <w:szCs w:val="18"/>
              </w:rPr>
              <w:t xml:space="preserve">To what extent was the budget allocation utilized and if budgetary shortfalls were encountered what were the likely causes what impact did it have in regard to pursuing </w:t>
            </w:r>
            <w:r w:rsidRPr="007122D6">
              <w:rPr>
                <w:b/>
                <w:i/>
                <w:sz w:val="18"/>
                <w:szCs w:val="18"/>
              </w:rPr>
              <w:t xml:space="preserve"> the Strategies / Intervention List of the SAP</w:t>
            </w:r>
            <w:r w:rsidRPr="007122D6">
              <w:rPr>
                <w:b/>
                <w:sz w:val="18"/>
                <w:szCs w:val="18"/>
              </w:rPr>
              <w:t>}</w:t>
            </w:r>
          </w:p>
        </w:tc>
      </w:tr>
      <w:tr w:rsidR="007122D6" w:rsidTr="00D00264">
        <w:trPr>
          <w:trHeight w:val="1744"/>
        </w:trPr>
        <w:tc>
          <w:tcPr>
            <w:tcW w:w="9315" w:type="dxa"/>
          </w:tcPr>
          <w:p w:rsidR="007122D6" w:rsidRDefault="007122D6" w:rsidP="007122D6">
            <w:pPr>
              <w:rPr>
                <w:b/>
              </w:rPr>
            </w:pPr>
          </w:p>
          <w:p w:rsidR="0078450A" w:rsidRPr="00AB4A90" w:rsidRDefault="0078450A" w:rsidP="00AB4A90">
            <w:pPr>
              <w:rPr>
                <w:bCs/>
                <w:color w:val="1F497D" w:themeColor="text2"/>
                <w:sz w:val="18"/>
                <w:szCs w:val="18"/>
              </w:rPr>
            </w:pPr>
            <w:r w:rsidRPr="00B159F6">
              <w:rPr>
                <w:bCs/>
                <w:color w:val="1F497D" w:themeColor="text2"/>
                <w:sz w:val="18"/>
                <w:szCs w:val="18"/>
              </w:rPr>
              <w:t xml:space="preserve">Budget allocation was completely utilized at the end of 2009 and 2010. The strategies in the SAP was not incorporated into the AGO action plan for the year due to the lack of in-house capacity. </w:t>
            </w:r>
          </w:p>
        </w:tc>
      </w:tr>
      <w:tr w:rsidR="007122D6" w:rsidTr="00D00264">
        <w:trPr>
          <w:trHeight w:val="443"/>
        </w:trPr>
        <w:tc>
          <w:tcPr>
            <w:tcW w:w="9315" w:type="dxa"/>
          </w:tcPr>
          <w:p w:rsidR="007122D6" w:rsidRDefault="007122D6" w:rsidP="007122D6">
            <w:r w:rsidRPr="007122D6">
              <w:t>Institutional Linkages</w:t>
            </w:r>
            <w:r w:rsidR="00123ADC">
              <w:t xml:space="preserve"> (</w:t>
            </w:r>
            <w:r w:rsidR="009F666C">
              <w:t>1</w:t>
            </w:r>
            <w:r w:rsidR="00123ADC">
              <w:t>00 words)</w:t>
            </w:r>
          </w:p>
          <w:p w:rsidR="007122D6" w:rsidRDefault="007122D6" w:rsidP="0007674A">
            <w:pPr>
              <w:rPr>
                <w:b/>
              </w:rPr>
            </w:pPr>
            <w:r w:rsidRPr="007122D6">
              <w:rPr>
                <w:b/>
                <w:sz w:val="18"/>
                <w:szCs w:val="18"/>
              </w:rPr>
              <w:t>{</w:t>
            </w:r>
            <w:r w:rsidR="002C0834">
              <w:rPr>
                <w:b/>
                <w:sz w:val="18"/>
                <w:szCs w:val="18"/>
              </w:rPr>
              <w:t xml:space="preserve">If </w:t>
            </w:r>
            <w:r w:rsidR="002C0834">
              <w:rPr>
                <w:b/>
                <w:i/>
                <w:sz w:val="18"/>
                <w:szCs w:val="18"/>
              </w:rPr>
              <w:t>any institutional linkages were  expected to be developed during the  implementation, to what extent were they achieved. If not what were the main causes</w:t>
            </w:r>
            <w:r w:rsidR="0007674A">
              <w:rPr>
                <w:b/>
                <w:i/>
                <w:sz w:val="18"/>
                <w:szCs w:val="18"/>
              </w:rPr>
              <w:t xml:space="preserve"> and what was the  affect on the implementation</w:t>
            </w:r>
            <w:r w:rsidR="002C0834">
              <w:rPr>
                <w:b/>
                <w:i/>
                <w:sz w:val="18"/>
                <w:szCs w:val="18"/>
              </w:rPr>
              <w:t>.</w:t>
            </w:r>
            <w:r w:rsidR="002C0834" w:rsidRPr="002C0834">
              <w:rPr>
                <w:b/>
                <w:sz w:val="18"/>
                <w:szCs w:val="18"/>
              </w:rPr>
              <w:t>}</w:t>
            </w:r>
          </w:p>
        </w:tc>
      </w:tr>
      <w:tr w:rsidR="007122D6" w:rsidTr="00D00264">
        <w:trPr>
          <w:trHeight w:val="1744"/>
        </w:trPr>
        <w:tc>
          <w:tcPr>
            <w:tcW w:w="9315" w:type="dxa"/>
          </w:tcPr>
          <w:p w:rsidR="007122D6" w:rsidRDefault="007122D6" w:rsidP="007122D6">
            <w:pPr>
              <w:rPr>
                <w:b/>
              </w:rPr>
            </w:pPr>
          </w:p>
          <w:p w:rsidR="00F174D5" w:rsidRDefault="00F174D5" w:rsidP="007122D6">
            <w:pPr>
              <w:rPr>
                <w:b/>
              </w:rPr>
            </w:pPr>
          </w:p>
        </w:tc>
      </w:tr>
      <w:tr w:rsidR="007122D6" w:rsidTr="00D00264">
        <w:trPr>
          <w:trHeight w:val="398"/>
        </w:trPr>
        <w:tc>
          <w:tcPr>
            <w:tcW w:w="9315" w:type="dxa"/>
          </w:tcPr>
          <w:p w:rsidR="007122D6" w:rsidRDefault="002C0834" w:rsidP="007122D6">
            <w:r w:rsidRPr="002C0834">
              <w:t>Sustainability</w:t>
            </w:r>
            <w:r w:rsidR="00123ADC">
              <w:t xml:space="preserve"> (</w:t>
            </w:r>
            <w:r w:rsidR="009F666C">
              <w:t>1</w:t>
            </w:r>
            <w:r w:rsidR="00123ADC">
              <w:t>00 words)</w:t>
            </w:r>
          </w:p>
          <w:p w:rsidR="002C0834" w:rsidRPr="002C0834" w:rsidRDefault="002C0834" w:rsidP="002C0834">
            <w:pPr>
              <w:rPr>
                <w:sz w:val="18"/>
                <w:szCs w:val="18"/>
              </w:rPr>
            </w:pPr>
            <w:r w:rsidRPr="007122D6">
              <w:rPr>
                <w:b/>
                <w:sz w:val="18"/>
                <w:szCs w:val="18"/>
              </w:rPr>
              <w:t>{</w:t>
            </w:r>
            <w:r w:rsidRPr="002C0834">
              <w:rPr>
                <w:b/>
                <w:i/>
                <w:sz w:val="18"/>
                <w:szCs w:val="18"/>
              </w:rPr>
              <w:t>To what degree could the operational aspects; including institutional linkages if any can be carried forward and describe any essential criteria required to facilitate this</w:t>
            </w:r>
            <w:r>
              <w:rPr>
                <w:b/>
                <w:sz w:val="18"/>
                <w:szCs w:val="18"/>
              </w:rPr>
              <w:t xml:space="preserve">}  </w:t>
            </w:r>
          </w:p>
        </w:tc>
      </w:tr>
      <w:tr w:rsidR="002C0834" w:rsidTr="00D00264">
        <w:trPr>
          <w:trHeight w:val="1744"/>
        </w:trPr>
        <w:tc>
          <w:tcPr>
            <w:tcW w:w="9315" w:type="dxa"/>
          </w:tcPr>
          <w:p w:rsidR="002C0834" w:rsidRDefault="002C0834" w:rsidP="007122D6">
            <w:pPr>
              <w:rPr>
                <w:b/>
              </w:rPr>
            </w:pPr>
          </w:p>
          <w:p w:rsidR="00F174D5" w:rsidRDefault="00F174D5" w:rsidP="007122D6">
            <w:pPr>
              <w:rPr>
                <w:b/>
              </w:rPr>
            </w:pPr>
          </w:p>
        </w:tc>
      </w:tr>
    </w:tbl>
    <w:p w:rsidR="007122D6" w:rsidRDefault="007122D6" w:rsidP="007122D6">
      <w:pPr>
        <w:rPr>
          <w:b/>
        </w:rPr>
      </w:pPr>
    </w:p>
    <w:p w:rsidR="008526AE" w:rsidRDefault="00953806" w:rsidP="00953806">
      <w:pPr>
        <w:pStyle w:val="ListParagraph"/>
        <w:ind w:left="540" w:hanging="450"/>
        <w:rPr>
          <w:b/>
        </w:rPr>
      </w:pPr>
      <w:r>
        <w:rPr>
          <w:b/>
        </w:rPr>
        <w:t>3.0</w:t>
      </w:r>
      <w:r>
        <w:rPr>
          <w:b/>
        </w:rPr>
        <w:tab/>
      </w:r>
      <w:r w:rsidR="008526AE" w:rsidRPr="0005451C">
        <w:rPr>
          <w:b/>
        </w:rPr>
        <w:t xml:space="preserve">Key Issues </w:t>
      </w:r>
      <w:r w:rsidR="00E25A44">
        <w:rPr>
          <w:b/>
        </w:rPr>
        <w:t>encountered</w:t>
      </w:r>
    </w:p>
    <w:tbl>
      <w:tblPr>
        <w:tblStyle w:val="TableGrid"/>
        <w:tblW w:w="9348" w:type="dxa"/>
        <w:tblInd w:w="558" w:type="dxa"/>
        <w:tblLook w:val="04A0"/>
      </w:tblPr>
      <w:tblGrid>
        <w:gridCol w:w="9348"/>
      </w:tblGrid>
      <w:tr w:rsidR="008526AE" w:rsidTr="00D378A4">
        <w:trPr>
          <w:trHeight w:val="353"/>
        </w:trPr>
        <w:tc>
          <w:tcPr>
            <w:tcW w:w="9348" w:type="dxa"/>
          </w:tcPr>
          <w:p w:rsidR="007E516D" w:rsidRDefault="008526AE" w:rsidP="002B2C00">
            <w:pPr>
              <w:rPr>
                <w:i/>
              </w:rPr>
            </w:pPr>
            <w:r w:rsidRPr="00C104D4">
              <w:rPr>
                <w:i/>
              </w:rPr>
              <w:lastRenderedPageBreak/>
              <w:t>Institutional</w:t>
            </w:r>
            <w:r w:rsidR="00123ADC">
              <w:rPr>
                <w:i/>
              </w:rPr>
              <w:t xml:space="preserve"> (</w:t>
            </w:r>
            <w:r w:rsidR="009F666C">
              <w:rPr>
                <w:i/>
              </w:rPr>
              <w:t>2</w:t>
            </w:r>
            <w:r w:rsidR="00123ADC">
              <w:rPr>
                <w:i/>
              </w:rPr>
              <w:t>00 words)</w:t>
            </w:r>
          </w:p>
          <w:p w:rsidR="008526AE" w:rsidRPr="00C104D4" w:rsidRDefault="00E150E9" w:rsidP="002B2C00">
            <w:pPr>
              <w:rPr>
                <w:i/>
              </w:rPr>
            </w:pPr>
            <w:r w:rsidRPr="00C104D4">
              <w:rPr>
                <w:i/>
              </w:rPr>
              <w:t xml:space="preserve"> </w:t>
            </w:r>
            <w:r w:rsidR="00D00264" w:rsidRPr="002B2C00">
              <w:rPr>
                <w:b/>
                <w:i/>
                <w:sz w:val="18"/>
                <w:szCs w:val="18"/>
              </w:rPr>
              <w:t>{</w:t>
            </w:r>
            <w:r w:rsidR="007E516D">
              <w:rPr>
                <w:b/>
                <w:i/>
                <w:sz w:val="18"/>
                <w:szCs w:val="18"/>
              </w:rPr>
              <w:t>Discuss the Strategic position of the Lead Agency and how it affected the Implementation of Strategies/ Operational Performance</w:t>
            </w:r>
            <w:r w:rsidR="002B2C00" w:rsidRPr="002B2C00">
              <w:rPr>
                <w:b/>
                <w:i/>
                <w:sz w:val="18"/>
                <w:szCs w:val="18"/>
              </w:rPr>
              <w:t>}</w:t>
            </w:r>
            <w:r w:rsidRPr="00C104D4">
              <w:rPr>
                <w:i/>
              </w:rPr>
              <w:t>:</w:t>
            </w:r>
          </w:p>
        </w:tc>
      </w:tr>
      <w:tr w:rsidR="0005451C" w:rsidTr="00D378A4">
        <w:trPr>
          <w:trHeight w:val="1870"/>
        </w:trPr>
        <w:tc>
          <w:tcPr>
            <w:tcW w:w="9348" w:type="dxa"/>
          </w:tcPr>
          <w:p w:rsidR="0005451C" w:rsidRDefault="0005451C" w:rsidP="008526AE"/>
          <w:p w:rsidR="0005451C" w:rsidRPr="00B159F6" w:rsidRDefault="0005451C" w:rsidP="008526AE">
            <w:pPr>
              <w:rPr>
                <w:color w:val="1F497D" w:themeColor="text2"/>
                <w:sz w:val="18"/>
                <w:szCs w:val="18"/>
              </w:rPr>
            </w:pPr>
          </w:p>
          <w:p w:rsidR="0005451C" w:rsidRPr="00B159F6" w:rsidRDefault="00F174D5" w:rsidP="008526AE">
            <w:pPr>
              <w:rPr>
                <w:b/>
                <w:bCs/>
                <w:color w:val="1F497D" w:themeColor="text2"/>
                <w:sz w:val="18"/>
                <w:szCs w:val="18"/>
              </w:rPr>
            </w:pPr>
            <w:r w:rsidRPr="00B159F6">
              <w:rPr>
                <w:color w:val="1F497D" w:themeColor="text2"/>
                <w:sz w:val="18"/>
                <w:szCs w:val="18"/>
              </w:rPr>
              <w:t>No lead Agency Identified</w:t>
            </w:r>
          </w:p>
          <w:p w:rsidR="00F174D5" w:rsidRPr="00B159F6" w:rsidRDefault="00F174D5" w:rsidP="008526AE">
            <w:pPr>
              <w:rPr>
                <w:b/>
                <w:bCs/>
              </w:rPr>
            </w:pPr>
          </w:p>
          <w:p w:rsidR="0005451C" w:rsidRDefault="0005451C" w:rsidP="008526AE"/>
        </w:tc>
      </w:tr>
      <w:tr w:rsidR="00E150E9" w:rsidTr="00D378A4">
        <w:trPr>
          <w:trHeight w:val="246"/>
        </w:trPr>
        <w:tc>
          <w:tcPr>
            <w:tcW w:w="9348" w:type="dxa"/>
          </w:tcPr>
          <w:p w:rsidR="00056335" w:rsidRDefault="00E150E9" w:rsidP="007E516D">
            <w:pPr>
              <w:rPr>
                <w:i/>
              </w:rPr>
            </w:pPr>
            <w:r w:rsidRPr="00C104D4">
              <w:rPr>
                <w:i/>
              </w:rPr>
              <w:t>Implementation</w:t>
            </w:r>
            <w:r w:rsidR="00123ADC">
              <w:rPr>
                <w:i/>
              </w:rPr>
              <w:t xml:space="preserve"> (</w:t>
            </w:r>
            <w:r w:rsidR="009F666C">
              <w:rPr>
                <w:i/>
              </w:rPr>
              <w:t>2</w:t>
            </w:r>
            <w:r w:rsidR="00123ADC">
              <w:rPr>
                <w:i/>
              </w:rPr>
              <w:t>00 words)</w:t>
            </w:r>
          </w:p>
          <w:p w:rsidR="00E150E9" w:rsidRPr="00056335" w:rsidRDefault="00056335" w:rsidP="00056335">
            <w:pPr>
              <w:rPr>
                <w:sz w:val="18"/>
                <w:szCs w:val="18"/>
              </w:rPr>
            </w:pPr>
            <w:r w:rsidRPr="00056335">
              <w:rPr>
                <w:b/>
                <w:sz w:val="18"/>
                <w:szCs w:val="18"/>
              </w:rPr>
              <w:t>{</w:t>
            </w:r>
            <w:r w:rsidRPr="00056335">
              <w:rPr>
                <w:b/>
                <w:i/>
                <w:sz w:val="18"/>
                <w:szCs w:val="18"/>
              </w:rPr>
              <w:t xml:space="preserve">Matters relating to </w:t>
            </w:r>
            <w:r w:rsidR="00E150E9" w:rsidRPr="00056335">
              <w:rPr>
                <w:b/>
                <w:i/>
                <w:sz w:val="18"/>
                <w:szCs w:val="18"/>
              </w:rPr>
              <w:t xml:space="preserve"> </w:t>
            </w:r>
            <w:r w:rsidRPr="00056335">
              <w:rPr>
                <w:b/>
                <w:i/>
                <w:sz w:val="18"/>
                <w:szCs w:val="18"/>
              </w:rPr>
              <w:t>implementation finances, human resources, monitoring</w:t>
            </w:r>
            <w:r>
              <w:rPr>
                <w:b/>
                <w:i/>
                <w:sz w:val="18"/>
                <w:szCs w:val="18"/>
              </w:rPr>
              <w:t xml:space="preserve"> </w:t>
            </w:r>
            <w:r w:rsidRPr="00056335">
              <w:rPr>
                <w:b/>
                <w:i/>
                <w:sz w:val="18"/>
                <w:szCs w:val="18"/>
              </w:rPr>
              <w:t>and oversight</w:t>
            </w:r>
            <w:r w:rsidRPr="00056335">
              <w:rPr>
                <w:b/>
                <w:sz w:val="18"/>
                <w:szCs w:val="18"/>
              </w:rPr>
              <w:t>}</w:t>
            </w:r>
          </w:p>
        </w:tc>
      </w:tr>
      <w:tr w:rsidR="00E150E9" w:rsidTr="00D378A4">
        <w:trPr>
          <w:trHeight w:val="2062"/>
        </w:trPr>
        <w:tc>
          <w:tcPr>
            <w:tcW w:w="9348" w:type="dxa"/>
          </w:tcPr>
          <w:p w:rsidR="00E150E9" w:rsidRDefault="00E150E9" w:rsidP="001E34D8"/>
          <w:p w:rsidR="00E150E9" w:rsidRPr="00F174D5" w:rsidRDefault="00E150E9" w:rsidP="001E34D8">
            <w:pPr>
              <w:rPr>
                <w:color w:val="1F497D" w:themeColor="text2"/>
              </w:rPr>
            </w:pPr>
          </w:p>
          <w:p w:rsidR="00E150E9" w:rsidRDefault="00E150E9"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Environmental</w:t>
            </w:r>
            <w:r w:rsidR="008241F2" w:rsidRPr="00C104D4">
              <w:rPr>
                <w:i/>
              </w:rPr>
              <w:t xml:space="preserve"> :</w:t>
            </w:r>
            <w:r w:rsidR="00AF3F5C">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 xml:space="preserve">Environmental </w:t>
            </w:r>
            <w:r w:rsidR="00D17BE4">
              <w:rPr>
                <w:b/>
                <w:i/>
                <w:sz w:val="18"/>
                <w:szCs w:val="18"/>
              </w:rPr>
              <w:t xml:space="preserve">9including Operational aspects) </w:t>
            </w:r>
            <w:r>
              <w:rPr>
                <w:b/>
                <w:i/>
                <w:sz w:val="18"/>
                <w:szCs w:val="18"/>
              </w:rPr>
              <w:t>aspects which were encountered and need to be addressed</w:t>
            </w:r>
            <w:r w:rsidRPr="00056335">
              <w:rPr>
                <w:b/>
                <w:sz w:val="18"/>
                <w:szCs w:val="18"/>
              </w:rPr>
              <w:t>}</w:t>
            </w:r>
          </w:p>
        </w:tc>
      </w:tr>
      <w:tr w:rsidR="00E150E9" w:rsidTr="00196C12">
        <w:trPr>
          <w:trHeight w:val="1262"/>
        </w:trPr>
        <w:tc>
          <w:tcPr>
            <w:tcW w:w="9348" w:type="dxa"/>
          </w:tcPr>
          <w:p w:rsidR="00E150E9" w:rsidRDefault="00E150E9" w:rsidP="001E34D8"/>
          <w:p w:rsidR="00E150E9" w:rsidRDefault="00E150E9" w:rsidP="001E34D8"/>
          <w:p w:rsidR="00E150E9" w:rsidRDefault="00E150E9"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Political</w:t>
            </w:r>
            <w:r w:rsidR="008241F2" w:rsidRPr="00C104D4">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Political considerations encountered and to be addressed</w:t>
            </w:r>
            <w:r w:rsidRPr="00056335">
              <w:rPr>
                <w:b/>
                <w:sz w:val="18"/>
                <w:szCs w:val="18"/>
              </w:rPr>
              <w:t>}</w:t>
            </w:r>
          </w:p>
        </w:tc>
      </w:tr>
      <w:tr w:rsidR="00E150E9" w:rsidTr="00D378A4">
        <w:trPr>
          <w:trHeight w:val="1305"/>
        </w:trPr>
        <w:tc>
          <w:tcPr>
            <w:tcW w:w="9348" w:type="dxa"/>
          </w:tcPr>
          <w:p w:rsidR="00E150E9" w:rsidRDefault="00E150E9" w:rsidP="001E34D8"/>
          <w:p w:rsidR="00C104D4" w:rsidRDefault="00C104D4"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Socio/ Cultural</w:t>
            </w:r>
            <w:r w:rsidR="008241F2" w:rsidRPr="00C104D4">
              <w:rPr>
                <w:i/>
              </w:rPr>
              <w:t xml:space="preserve"> </w:t>
            </w:r>
            <w:r w:rsidR="00123ADC">
              <w:rPr>
                <w:i/>
              </w:rPr>
              <w:t>(</w:t>
            </w:r>
            <w:r w:rsidR="009F666C">
              <w:rPr>
                <w:i/>
              </w:rPr>
              <w:t>1</w:t>
            </w:r>
            <w:r w:rsidR="00123ADC">
              <w:rPr>
                <w:i/>
              </w:rPr>
              <w:t>00 words)</w:t>
            </w:r>
          </w:p>
          <w:p w:rsidR="00056335" w:rsidRPr="00C104D4" w:rsidRDefault="00056335" w:rsidP="00930643">
            <w:pPr>
              <w:rPr>
                <w:i/>
              </w:rPr>
            </w:pPr>
            <w:r w:rsidRPr="00056335">
              <w:rPr>
                <w:b/>
                <w:sz w:val="18"/>
                <w:szCs w:val="18"/>
              </w:rPr>
              <w:t>{</w:t>
            </w:r>
            <w:r>
              <w:rPr>
                <w:b/>
                <w:i/>
                <w:sz w:val="18"/>
                <w:szCs w:val="18"/>
              </w:rPr>
              <w:t>Socio Cultural considerations encountered in respect of operation and implementation</w:t>
            </w:r>
            <w:r w:rsidRPr="00056335">
              <w:rPr>
                <w:b/>
                <w:sz w:val="18"/>
                <w:szCs w:val="18"/>
              </w:rPr>
              <w:t>}</w:t>
            </w:r>
          </w:p>
        </w:tc>
      </w:tr>
      <w:tr w:rsidR="00E150E9" w:rsidTr="00196C12">
        <w:trPr>
          <w:trHeight w:val="1010"/>
        </w:trPr>
        <w:tc>
          <w:tcPr>
            <w:tcW w:w="9348" w:type="dxa"/>
          </w:tcPr>
          <w:p w:rsidR="00E150E9" w:rsidRDefault="00E150E9" w:rsidP="001E34D8"/>
        </w:tc>
      </w:tr>
      <w:tr w:rsidR="00E150E9" w:rsidTr="00D378A4">
        <w:trPr>
          <w:trHeight w:val="353"/>
        </w:trPr>
        <w:tc>
          <w:tcPr>
            <w:tcW w:w="9348" w:type="dxa"/>
          </w:tcPr>
          <w:p w:rsidR="00E150E9" w:rsidRDefault="00D378A4" w:rsidP="006A11B1">
            <w:pPr>
              <w:rPr>
                <w:i/>
              </w:rPr>
            </w:pPr>
            <w:r>
              <w:rPr>
                <w:i/>
              </w:rPr>
              <w:t xml:space="preserve">Gender </w:t>
            </w:r>
            <w:r w:rsidR="00AF3F5C">
              <w:rPr>
                <w:i/>
              </w:rPr>
              <w:t xml:space="preserve"> </w:t>
            </w:r>
            <w:r w:rsidR="00123ADC">
              <w:rPr>
                <w:i/>
              </w:rPr>
              <w:t>(</w:t>
            </w:r>
            <w:r w:rsidR="009F666C">
              <w:rPr>
                <w:i/>
              </w:rPr>
              <w:t>1</w:t>
            </w:r>
            <w:r w:rsidR="00123ADC">
              <w:rPr>
                <w:i/>
              </w:rPr>
              <w:t>00 words)</w:t>
            </w:r>
          </w:p>
          <w:p w:rsidR="006A11B1" w:rsidRPr="00C104D4" w:rsidRDefault="006A11B1" w:rsidP="006A11B1">
            <w:pPr>
              <w:rPr>
                <w:i/>
              </w:rPr>
            </w:pPr>
            <w:r w:rsidRPr="00056335">
              <w:rPr>
                <w:b/>
                <w:sz w:val="18"/>
                <w:szCs w:val="18"/>
              </w:rPr>
              <w:t>{</w:t>
            </w:r>
            <w:r>
              <w:rPr>
                <w:b/>
                <w:i/>
                <w:sz w:val="18"/>
                <w:szCs w:val="18"/>
              </w:rPr>
              <w:t>Gender related issues  encountered during operation and implementation</w:t>
            </w:r>
            <w:r w:rsidRPr="00056335">
              <w:rPr>
                <w:b/>
                <w:sz w:val="18"/>
                <w:szCs w:val="18"/>
              </w:rPr>
              <w:t>}</w:t>
            </w:r>
          </w:p>
        </w:tc>
      </w:tr>
      <w:tr w:rsidR="00D378A4" w:rsidTr="00196C12">
        <w:trPr>
          <w:trHeight w:val="938"/>
        </w:trPr>
        <w:tc>
          <w:tcPr>
            <w:tcW w:w="9348" w:type="dxa"/>
          </w:tcPr>
          <w:p w:rsidR="00D378A4" w:rsidRDefault="00D378A4" w:rsidP="001E34D8">
            <w:pPr>
              <w:rPr>
                <w:i/>
              </w:rPr>
            </w:pPr>
          </w:p>
          <w:p w:rsidR="00D378A4" w:rsidRDefault="00D378A4" w:rsidP="001E34D8">
            <w:pPr>
              <w:rPr>
                <w:i/>
              </w:rPr>
            </w:pPr>
          </w:p>
        </w:tc>
      </w:tr>
      <w:tr w:rsidR="00E150E9" w:rsidTr="00D378A4">
        <w:trPr>
          <w:trHeight w:val="289"/>
        </w:trPr>
        <w:tc>
          <w:tcPr>
            <w:tcW w:w="9348" w:type="dxa"/>
          </w:tcPr>
          <w:p w:rsidR="00E150E9" w:rsidRDefault="001E34D8" w:rsidP="006A11B1">
            <w:r>
              <w:t xml:space="preserve">Statistical and Data Collection </w:t>
            </w:r>
            <w:r w:rsidR="00123ADC">
              <w:t>(</w:t>
            </w:r>
            <w:r w:rsidR="009F666C">
              <w:t>1</w:t>
            </w:r>
            <w:r w:rsidR="00123ADC">
              <w:t>00 words)</w:t>
            </w:r>
          </w:p>
          <w:p w:rsidR="006A11B1" w:rsidRDefault="006A11B1" w:rsidP="006A11B1">
            <w:r w:rsidRPr="00056335">
              <w:rPr>
                <w:b/>
                <w:sz w:val="18"/>
                <w:szCs w:val="18"/>
              </w:rPr>
              <w:t>{</w:t>
            </w:r>
            <w:r w:rsidR="007536C1" w:rsidRPr="007536C1">
              <w:rPr>
                <w:b/>
                <w:i/>
                <w:iCs/>
                <w:sz w:val="18"/>
                <w:szCs w:val="18"/>
              </w:rPr>
              <w:t>All the data sources used. O</w:t>
            </w:r>
            <w:r w:rsidRPr="007536C1">
              <w:rPr>
                <w:b/>
                <w:i/>
                <w:iCs/>
                <w:sz w:val="18"/>
                <w:szCs w:val="18"/>
              </w:rPr>
              <w:t>ther factors which</w:t>
            </w:r>
            <w:r>
              <w:rPr>
                <w:b/>
                <w:i/>
                <w:sz w:val="18"/>
                <w:szCs w:val="18"/>
              </w:rPr>
              <w:t xml:space="preserve"> surfaced in the operation and implementation</w:t>
            </w:r>
            <w:r w:rsidRPr="00056335">
              <w:rPr>
                <w:b/>
                <w:sz w:val="18"/>
                <w:szCs w:val="18"/>
              </w:rPr>
              <w:t>}</w:t>
            </w:r>
          </w:p>
        </w:tc>
      </w:tr>
      <w:tr w:rsidR="00D378A4" w:rsidTr="00196C12">
        <w:trPr>
          <w:trHeight w:val="1298"/>
        </w:trPr>
        <w:tc>
          <w:tcPr>
            <w:tcW w:w="9348" w:type="dxa"/>
          </w:tcPr>
          <w:p w:rsidR="00D378A4" w:rsidRDefault="00D378A4" w:rsidP="001E34D8"/>
          <w:p w:rsidR="00D378A4" w:rsidRDefault="00D378A4" w:rsidP="001E34D8"/>
          <w:p w:rsidR="00D378A4" w:rsidRDefault="00D378A4" w:rsidP="001E34D8"/>
          <w:p w:rsidR="00D378A4" w:rsidRDefault="00D378A4" w:rsidP="001E34D8"/>
        </w:tc>
      </w:tr>
    </w:tbl>
    <w:p w:rsidR="00D378A4" w:rsidRDefault="00D378A4" w:rsidP="00953806">
      <w:pPr>
        <w:ind w:left="540" w:hanging="450"/>
        <w:rPr>
          <w:b/>
        </w:rPr>
      </w:pPr>
    </w:p>
    <w:p w:rsidR="008241F2" w:rsidRDefault="008241F2" w:rsidP="006A11B1">
      <w:pPr>
        <w:pStyle w:val="ListParagraph"/>
        <w:numPr>
          <w:ilvl w:val="0"/>
          <w:numId w:val="4"/>
        </w:numPr>
        <w:rPr>
          <w:b/>
        </w:rPr>
      </w:pPr>
      <w:r w:rsidRPr="006A11B1">
        <w:rPr>
          <w:b/>
        </w:rPr>
        <w:t>Lessons Learnt</w:t>
      </w:r>
      <w:r w:rsidR="006A11B1" w:rsidRPr="006A11B1">
        <w:rPr>
          <w:b/>
        </w:rPr>
        <w:t xml:space="preserve"> </w:t>
      </w:r>
      <w:r w:rsidR="00AF3F5C" w:rsidRPr="006A11B1">
        <w:rPr>
          <w:b/>
        </w:rPr>
        <w:t xml:space="preserve"> (300 words)</w:t>
      </w:r>
    </w:p>
    <w:p w:rsidR="006A11B1" w:rsidRPr="0007674A" w:rsidRDefault="006A11B1" w:rsidP="006A11B1">
      <w:pPr>
        <w:pStyle w:val="ListParagraph"/>
        <w:ind w:left="540"/>
        <w:rPr>
          <w:b/>
          <w:sz w:val="18"/>
          <w:szCs w:val="18"/>
        </w:rPr>
      </w:pPr>
      <w:r w:rsidRPr="0007674A">
        <w:rPr>
          <w:b/>
          <w:bCs/>
          <w:sz w:val="18"/>
          <w:szCs w:val="18"/>
        </w:rPr>
        <w:t>{Discuss the Lessons Learnt in the process of carrying out interventions relevant to realization of the Sector Outcomes as specified in the SAP</w:t>
      </w:r>
      <w:r w:rsidR="00172CBF">
        <w:rPr>
          <w:b/>
          <w:bCs/>
          <w:sz w:val="18"/>
          <w:szCs w:val="18"/>
        </w:rPr>
        <w:t>. F</w:t>
      </w:r>
      <w:r w:rsidR="0007674A" w:rsidRPr="0007674A">
        <w:rPr>
          <w:b/>
          <w:bCs/>
          <w:sz w:val="18"/>
          <w:szCs w:val="18"/>
        </w:rPr>
        <w:t xml:space="preserve">ocus on </w:t>
      </w:r>
      <w:r w:rsidR="0007674A" w:rsidRPr="0007674A">
        <w:rPr>
          <w:b/>
          <w:sz w:val="18"/>
          <w:szCs w:val="18"/>
        </w:rPr>
        <w:t xml:space="preserve">the involved agencies and other stakeholders (including beneficiaries) and their </w:t>
      </w:r>
      <w:r w:rsidR="0007674A" w:rsidRPr="0007674A">
        <w:rPr>
          <w:b/>
          <w:sz w:val="18"/>
          <w:szCs w:val="18"/>
        </w:rPr>
        <w:lastRenderedPageBreak/>
        <w:t>willing</w:t>
      </w:r>
      <w:r w:rsidR="00172CBF">
        <w:rPr>
          <w:b/>
          <w:sz w:val="18"/>
          <w:szCs w:val="18"/>
        </w:rPr>
        <w:t xml:space="preserve">ness </w:t>
      </w:r>
      <w:r w:rsidR="0007674A" w:rsidRPr="0007674A">
        <w:rPr>
          <w:b/>
          <w:sz w:val="18"/>
          <w:szCs w:val="18"/>
        </w:rPr>
        <w:t>and capability to continue the interventions. If not what additional measures would need to be taken to strengthen them</w:t>
      </w:r>
      <w:r w:rsidRPr="0007674A">
        <w:rPr>
          <w:b/>
          <w:bCs/>
          <w:sz w:val="18"/>
          <w:szCs w:val="18"/>
        </w:rPr>
        <w:t>}</w:t>
      </w:r>
    </w:p>
    <w:tbl>
      <w:tblPr>
        <w:tblStyle w:val="TableGrid"/>
        <w:tblW w:w="9300" w:type="dxa"/>
        <w:tblInd w:w="558" w:type="dxa"/>
        <w:tblLook w:val="04A0"/>
      </w:tblPr>
      <w:tblGrid>
        <w:gridCol w:w="9300"/>
      </w:tblGrid>
      <w:tr w:rsidR="008241F2" w:rsidTr="00692C45">
        <w:trPr>
          <w:trHeight w:val="3299"/>
        </w:trPr>
        <w:tc>
          <w:tcPr>
            <w:tcW w:w="9300" w:type="dxa"/>
          </w:tcPr>
          <w:p w:rsidR="008241F2" w:rsidRDefault="008241F2" w:rsidP="008526AE"/>
          <w:p w:rsidR="008241F2" w:rsidRDefault="008241F2" w:rsidP="008526AE"/>
          <w:p w:rsidR="008241F2" w:rsidRDefault="008241F2" w:rsidP="008526AE"/>
          <w:p w:rsidR="004C03C0" w:rsidRDefault="004C03C0" w:rsidP="008526AE"/>
          <w:p w:rsidR="004C03C0" w:rsidRDefault="004C03C0" w:rsidP="008526AE"/>
          <w:p w:rsidR="008241F2" w:rsidRDefault="008241F2" w:rsidP="008526AE"/>
          <w:p w:rsidR="008241F2" w:rsidRDefault="008241F2"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tc>
      </w:tr>
    </w:tbl>
    <w:p w:rsidR="00C104D4" w:rsidRDefault="00C104D4" w:rsidP="001E74DE">
      <w:pPr>
        <w:ind w:left="90"/>
        <w:rPr>
          <w:b/>
        </w:rPr>
      </w:pPr>
    </w:p>
    <w:p w:rsidR="0007674A" w:rsidRPr="0007674A" w:rsidRDefault="00D378A4" w:rsidP="00172CBF">
      <w:pPr>
        <w:pStyle w:val="ListParagraph"/>
        <w:numPr>
          <w:ilvl w:val="0"/>
          <w:numId w:val="4"/>
        </w:numPr>
        <w:spacing w:after="0"/>
        <w:ind w:left="547"/>
        <w:rPr>
          <w:b/>
        </w:rPr>
      </w:pPr>
      <w:r w:rsidRPr="0007674A">
        <w:rPr>
          <w:b/>
        </w:rPr>
        <w:t xml:space="preserve">Partnerships </w:t>
      </w:r>
      <w:r w:rsidR="00123ADC">
        <w:rPr>
          <w:b/>
        </w:rPr>
        <w:t>(200 words)</w:t>
      </w:r>
    </w:p>
    <w:p w:rsidR="00D378A4" w:rsidRDefault="00172CBF" w:rsidP="00172CBF">
      <w:pPr>
        <w:spacing w:after="0"/>
        <w:ind w:left="547"/>
        <w:rPr>
          <w:b/>
          <w:sz w:val="18"/>
          <w:szCs w:val="18"/>
        </w:rPr>
      </w:pPr>
      <w:r w:rsidRPr="00172CBF">
        <w:rPr>
          <w:b/>
          <w:sz w:val="18"/>
          <w:szCs w:val="18"/>
        </w:rPr>
        <w:t>{</w:t>
      </w:r>
      <w:r w:rsidRPr="00172CBF">
        <w:rPr>
          <w:b/>
          <w:i/>
          <w:sz w:val="18"/>
          <w:szCs w:val="18"/>
        </w:rPr>
        <w:t xml:space="preserve">Describe any partnerships established with a donor, private sector of civil society </w:t>
      </w:r>
      <w:r w:rsidR="00F70970" w:rsidRPr="00172CBF">
        <w:rPr>
          <w:b/>
          <w:i/>
          <w:sz w:val="18"/>
          <w:szCs w:val="18"/>
        </w:rPr>
        <w:t>organ</w:t>
      </w:r>
      <w:r w:rsidR="00F70970">
        <w:rPr>
          <w:b/>
          <w:i/>
          <w:sz w:val="18"/>
          <w:szCs w:val="18"/>
        </w:rPr>
        <w:t>i</w:t>
      </w:r>
      <w:r w:rsidR="00F70970" w:rsidRPr="00172CBF">
        <w:rPr>
          <w:b/>
          <w:i/>
          <w:sz w:val="18"/>
          <w:szCs w:val="18"/>
        </w:rPr>
        <w:t>zation</w:t>
      </w:r>
      <w:r w:rsidRPr="00172CBF">
        <w:rPr>
          <w:b/>
          <w:i/>
          <w:sz w:val="18"/>
          <w:szCs w:val="18"/>
        </w:rPr>
        <w:t xml:space="preserve"> to achieve an outcome(s)</w:t>
      </w:r>
      <w:r w:rsidRPr="00172CBF">
        <w:rPr>
          <w:b/>
          <w:sz w:val="18"/>
          <w:szCs w:val="18"/>
        </w:rPr>
        <w:t xml:space="preserve">} </w:t>
      </w:r>
    </w:p>
    <w:p w:rsidR="00172CBF" w:rsidRDefault="00172CBF" w:rsidP="00172CBF">
      <w:pPr>
        <w:spacing w:after="0"/>
        <w:ind w:left="547"/>
        <w:rPr>
          <w:b/>
          <w:sz w:val="18"/>
          <w:szCs w:val="18"/>
        </w:rPr>
      </w:pPr>
    </w:p>
    <w:p w:rsidR="00172CBF" w:rsidRPr="00172CBF" w:rsidRDefault="00172CBF" w:rsidP="00172CBF">
      <w:pPr>
        <w:spacing w:after="0"/>
        <w:ind w:left="547"/>
        <w:rPr>
          <w:b/>
          <w:sz w:val="18"/>
          <w:szCs w:val="18"/>
        </w:rPr>
      </w:pPr>
    </w:p>
    <w:tbl>
      <w:tblPr>
        <w:tblStyle w:val="TableGrid"/>
        <w:tblW w:w="9364" w:type="dxa"/>
        <w:tblInd w:w="468" w:type="dxa"/>
        <w:tblLook w:val="04A0"/>
      </w:tblPr>
      <w:tblGrid>
        <w:gridCol w:w="9364"/>
      </w:tblGrid>
      <w:tr w:rsidR="00D378A4" w:rsidTr="00D378A4">
        <w:trPr>
          <w:trHeight w:val="3214"/>
        </w:trPr>
        <w:tc>
          <w:tcPr>
            <w:tcW w:w="9364" w:type="dxa"/>
          </w:tcPr>
          <w:p w:rsidR="00D378A4" w:rsidRDefault="00D378A4"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tc>
      </w:tr>
    </w:tbl>
    <w:p w:rsidR="0007674A" w:rsidRDefault="0007674A" w:rsidP="00C104D4"/>
    <w:p w:rsidR="0007674A" w:rsidRPr="0007674A" w:rsidRDefault="0007674A" w:rsidP="0007674A">
      <w:pPr>
        <w:pStyle w:val="ListParagraph"/>
        <w:numPr>
          <w:ilvl w:val="0"/>
          <w:numId w:val="5"/>
        </w:numPr>
        <w:ind w:left="540" w:hanging="450"/>
        <w:rPr>
          <w:b/>
        </w:rPr>
      </w:pPr>
      <w:r w:rsidRPr="0007674A">
        <w:rPr>
          <w:b/>
        </w:rPr>
        <w:t>Follow-up Actions &amp; Recommendations  (</w:t>
      </w:r>
      <w:r w:rsidR="009F666C">
        <w:rPr>
          <w:b/>
        </w:rPr>
        <w:t>4</w:t>
      </w:r>
      <w:r w:rsidRPr="0007674A">
        <w:rPr>
          <w:b/>
        </w:rPr>
        <w:t>00 words)</w:t>
      </w:r>
    </w:p>
    <w:p w:rsidR="0007674A" w:rsidRPr="0007674A" w:rsidRDefault="0007674A" w:rsidP="0007674A">
      <w:pPr>
        <w:ind w:left="540"/>
        <w:rPr>
          <w:b/>
        </w:rPr>
      </w:pPr>
      <w:r w:rsidRPr="0007674A">
        <w:rPr>
          <w:b/>
          <w:bCs/>
          <w:sz w:val="18"/>
          <w:szCs w:val="18"/>
        </w:rPr>
        <w:t xml:space="preserve">{Recommendations for strengthening, reorienting and/or revising the implementation mechanisms and strengthening the key agencies and other stakeholders for achieving </w:t>
      </w:r>
      <w:r w:rsidRPr="0007674A">
        <w:rPr>
          <w:b/>
          <w:sz w:val="18"/>
          <w:szCs w:val="18"/>
        </w:rPr>
        <w:t>Sector Outcomes in future periods}</w:t>
      </w:r>
    </w:p>
    <w:tbl>
      <w:tblPr>
        <w:tblStyle w:val="TableGrid"/>
        <w:tblW w:w="9360" w:type="dxa"/>
        <w:tblInd w:w="468" w:type="dxa"/>
        <w:tblLook w:val="04A0"/>
      </w:tblPr>
      <w:tblGrid>
        <w:gridCol w:w="9360"/>
      </w:tblGrid>
      <w:tr w:rsidR="0007674A" w:rsidTr="001E34D8">
        <w:trPr>
          <w:trHeight w:val="6405"/>
        </w:trPr>
        <w:tc>
          <w:tcPr>
            <w:tcW w:w="9360" w:type="dxa"/>
          </w:tcPr>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tc>
      </w:tr>
    </w:tbl>
    <w:p w:rsidR="0007674A" w:rsidRDefault="0007674A" w:rsidP="0007674A">
      <w:pPr>
        <w:ind w:left="540" w:hanging="450"/>
        <w:rPr>
          <w:b/>
        </w:rPr>
      </w:pPr>
    </w:p>
    <w:p w:rsidR="0007674A" w:rsidRDefault="00196C12" w:rsidP="00C104D4">
      <w:proofErr w:type="gramStart"/>
      <w:r>
        <w:t>Date :</w:t>
      </w:r>
      <w:proofErr w:type="gramEnd"/>
      <w:r w:rsidR="00C009CF">
        <w:tab/>
      </w:r>
      <w:r w:rsidR="00C009CF">
        <w:tab/>
      </w:r>
    </w:p>
    <w:p w:rsidR="00196C12" w:rsidRDefault="00C009CF" w:rsidP="00C104D4">
      <w:r>
        <w:t xml:space="preserve">Name of Officer </w:t>
      </w:r>
      <w:r w:rsidR="00196C12">
        <w:t xml:space="preserve">: </w:t>
      </w:r>
    </w:p>
    <w:p w:rsidR="00196C12" w:rsidRDefault="00196C12" w:rsidP="00C104D4">
      <w:r>
        <w:t xml:space="preserve">Designation : </w:t>
      </w:r>
    </w:p>
    <w:sectPr w:rsidR="00196C12" w:rsidSect="00377AA4">
      <w:pgSz w:w="12240" w:h="15840"/>
      <w:pgMar w:top="420" w:right="1440" w:bottom="27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34D8" w:rsidRDefault="001E34D8" w:rsidP="00377AA4">
      <w:pPr>
        <w:spacing w:after="0" w:line="240" w:lineRule="auto"/>
      </w:pPr>
      <w:r>
        <w:separator/>
      </w:r>
    </w:p>
  </w:endnote>
  <w:endnote w:type="continuationSeparator" w:id="1">
    <w:p w:rsidR="001E34D8" w:rsidRDefault="001E34D8" w:rsidP="00377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34D8" w:rsidRDefault="001E34D8" w:rsidP="00377AA4">
      <w:pPr>
        <w:spacing w:after="0" w:line="240" w:lineRule="auto"/>
      </w:pPr>
      <w:r>
        <w:separator/>
      </w:r>
    </w:p>
  </w:footnote>
  <w:footnote w:type="continuationSeparator" w:id="1">
    <w:p w:rsidR="001E34D8" w:rsidRDefault="001E34D8" w:rsidP="00377A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780424"/>
    <w:multiLevelType w:val="multilevel"/>
    <w:tmpl w:val="F4F26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2">
    <w:nsid w:val="42796569"/>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49854120"/>
    <w:multiLevelType w:val="hybridMultilevel"/>
    <w:tmpl w:val="D25A7DA0"/>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53FD66E5"/>
    <w:multiLevelType w:val="multilevel"/>
    <w:tmpl w:val="5AD87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CF7AB3"/>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
  </w:num>
  <w:num w:numId="2">
    <w:abstractNumId w:val="6"/>
  </w:num>
  <w:num w:numId="3">
    <w:abstractNumId w:val="3"/>
  </w:num>
  <w:num w:numId="4">
    <w:abstractNumId w:val="1"/>
  </w:num>
  <w:num w:numId="5">
    <w:abstractNumId w:val="4"/>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0"/>
    <w:footnote w:id="1"/>
  </w:footnotePr>
  <w:endnotePr>
    <w:endnote w:id="0"/>
    <w:endnote w:id="1"/>
  </w:endnotePr>
  <w:compat/>
  <w:rsids>
    <w:rsidRoot w:val="005F2121"/>
    <w:rsid w:val="000533BD"/>
    <w:rsid w:val="0005451C"/>
    <w:rsid w:val="00056335"/>
    <w:rsid w:val="0007674A"/>
    <w:rsid w:val="000866E3"/>
    <w:rsid w:val="00092352"/>
    <w:rsid w:val="000A4113"/>
    <w:rsid w:val="000F4FE7"/>
    <w:rsid w:val="00123ADC"/>
    <w:rsid w:val="001449F9"/>
    <w:rsid w:val="00172CBF"/>
    <w:rsid w:val="00196C12"/>
    <w:rsid w:val="001D681F"/>
    <w:rsid w:val="001E34D8"/>
    <w:rsid w:val="001E55C3"/>
    <w:rsid w:val="001E74DE"/>
    <w:rsid w:val="001F669D"/>
    <w:rsid w:val="002242EF"/>
    <w:rsid w:val="002B2C00"/>
    <w:rsid w:val="002C0834"/>
    <w:rsid w:val="002C50B2"/>
    <w:rsid w:val="002D3E18"/>
    <w:rsid w:val="003537D9"/>
    <w:rsid w:val="00377AA4"/>
    <w:rsid w:val="00480CD4"/>
    <w:rsid w:val="004963F6"/>
    <w:rsid w:val="004C03C0"/>
    <w:rsid w:val="005206DE"/>
    <w:rsid w:val="0052698F"/>
    <w:rsid w:val="0054677C"/>
    <w:rsid w:val="005756E0"/>
    <w:rsid w:val="00595B94"/>
    <w:rsid w:val="0059796B"/>
    <w:rsid w:val="005A38FB"/>
    <w:rsid w:val="005B6D5A"/>
    <w:rsid w:val="005D3B92"/>
    <w:rsid w:val="005D6EEC"/>
    <w:rsid w:val="005D7D52"/>
    <w:rsid w:val="005F2121"/>
    <w:rsid w:val="006112EC"/>
    <w:rsid w:val="0061189E"/>
    <w:rsid w:val="00645B9C"/>
    <w:rsid w:val="00660F32"/>
    <w:rsid w:val="006646CD"/>
    <w:rsid w:val="00692C45"/>
    <w:rsid w:val="006A11B1"/>
    <w:rsid w:val="00710654"/>
    <w:rsid w:val="007122D6"/>
    <w:rsid w:val="007536C1"/>
    <w:rsid w:val="007809C6"/>
    <w:rsid w:val="0078450A"/>
    <w:rsid w:val="007A2C46"/>
    <w:rsid w:val="007A7102"/>
    <w:rsid w:val="007E516D"/>
    <w:rsid w:val="007F48DD"/>
    <w:rsid w:val="008241F2"/>
    <w:rsid w:val="008526AE"/>
    <w:rsid w:val="00864C9C"/>
    <w:rsid w:val="00894536"/>
    <w:rsid w:val="00930643"/>
    <w:rsid w:val="009474C5"/>
    <w:rsid w:val="00953806"/>
    <w:rsid w:val="00996883"/>
    <w:rsid w:val="009F666C"/>
    <w:rsid w:val="009F7643"/>
    <w:rsid w:val="00A00270"/>
    <w:rsid w:val="00A1085F"/>
    <w:rsid w:val="00A8036E"/>
    <w:rsid w:val="00A83AD7"/>
    <w:rsid w:val="00A97BF5"/>
    <w:rsid w:val="00AB4A90"/>
    <w:rsid w:val="00AC4E46"/>
    <w:rsid w:val="00AF3F5C"/>
    <w:rsid w:val="00B10A8E"/>
    <w:rsid w:val="00B159F6"/>
    <w:rsid w:val="00B45BC2"/>
    <w:rsid w:val="00B7009A"/>
    <w:rsid w:val="00B713D9"/>
    <w:rsid w:val="00BC1AD9"/>
    <w:rsid w:val="00BC3ACF"/>
    <w:rsid w:val="00C009CF"/>
    <w:rsid w:val="00C104D4"/>
    <w:rsid w:val="00C506D8"/>
    <w:rsid w:val="00C975CA"/>
    <w:rsid w:val="00CB4769"/>
    <w:rsid w:val="00CE351E"/>
    <w:rsid w:val="00CF55B9"/>
    <w:rsid w:val="00D00264"/>
    <w:rsid w:val="00D1620E"/>
    <w:rsid w:val="00D17BE4"/>
    <w:rsid w:val="00D33A5E"/>
    <w:rsid w:val="00D378A4"/>
    <w:rsid w:val="00D655B3"/>
    <w:rsid w:val="00DB3054"/>
    <w:rsid w:val="00E11AFA"/>
    <w:rsid w:val="00E150E9"/>
    <w:rsid w:val="00E20CE9"/>
    <w:rsid w:val="00E23BFD"/>
    <w:rsid w:val="00E25A44"/>
    <w:rsid w:val="00E44888"/>
    <w:rsid w:val="00EA77CC"/>
    <w:rsid w:val="00EA7CA9"/>
    <w:rsid w:val="00EE0D84"/>
    <w:rsid w:val="00F12DB0"/>
    <w:rsid w:val="00F174D5"/>
    <w:rsid w:val="00F53BD6"/>
    <w:rsid w:val="00F70970"/>
    <w:rsid w:val="00F76FCA"/>
    <w:rsid w:val="00F97AC5"/>
    <w:rsid w:val="00FA102A"/>
    <w:rsid w:val="00FA2B50"/>
    <w:rsid w:val="00FB09CB"/>
    <w:rsid w:val="00FF043D"/>
    <w:rsid w:val="00FF14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C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 w:type="paragraph" w:styleId="NormalWeb">
    <w:name w:val="Normal (Web)"/>
    <w:basedOn w:val="Normal"/>
    <w:uiPriority w:val="99"/>
    <w:semiHidden/>
    <w:unhideWhenUsed/>
    <w:rsid w:val="000F4FE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22702526">
      <w:bodyDiv w:val="1"/>
      <w:marLeft w:val="0"/>
      <w:marRight w:val="0"/>
      <w:marTop w:val="0"/>
      <w:marBottom w:val="0"/>
      <w:divBdr>
        <w:top w:val="none" w:sz="0" w:space="0" w:color="auto"/>
        <w:left w:val="none" w:sz="0" w:space="0" w:color="auto"/>
        <w:bottom w:val="none" w:sz="0" w:space="0" w:color="auto"/>
        <w:right w:val="none" w:sz="0" w:space="0" w:color="auto"/>
      </w:divBdr>
      <w:divsChild>
        <w:div w:id="1494029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1510</Words>
  <Characters>8609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10099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Consultant2</dc:creator>
  <cp:keywords/>
  <dc:description/>
  <cp:lastModifiedBy>jabyn</cp:lastModifiedBy>
  <cp:revision>2</cp:revision>
  <cp:lastPrinted>2011-05-16T04:21:00Z</cp:lastPrinted>
  <dcterms:created xsi:type="dcterms:W3CDTF">2011-05-17T15:31:00Z</dcterms:created>
  <dcterms:modified xsi:type="dcterms:W3CDTF">2011-05-17T15:31:00Z</dcterms:modified>
</cp:coreProperties>
</file>