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606095" w:rsidP="00083D44">
            <w:pPr>
              <w:tabs>
                <w:tab w:val="right" w:pos="7272"/>
              </w:tabs>
              <w:spacing w:after="160"/>
              <w:rPr>
                <w:b/>
                <w:color w:val="FF0000"/>
                <w:spacing w:val="8"/>
                <w:sz w:val="22"/>
                <w:szCs w:val="22"/>
              </w:rPr>
            </w:pPr>
            <w:proofErr w:type="spellStart"/>
            <w:r>
              <w:rPr>
                <w:b/>
                <w:color w:val="FF0000"/>
                <w:spacing w:val="8"/>
                <w:sz w:val="22"/>
                <w:szCs w:val="22"/>
              </w:rPr>
              <w:t>Supply,Delivery</w:t>
            </w:r>
            <w:proofErr w:type="spellEnd"/>
            <w:r>
              <w:rPr>
                <w:b/>
                <w:color w:val="FF0000"/>
                <w:spacing w:val="8"/>
                <w:sz w:val="22"/>
                <w:szCs w:val="22"/>
              </w:rPr>
              <w:t xml:space="preserve"> and Installation of Water tanks for </w:t>
            </w:r>
            <w:proofErr w:type="spellStart"/>
            <w:r>
              <w:rPr>
                <w:b/>
                <w:color w:val="FF0000"/>
                <w:spacing w:val="8"/>
                <w:sz w:val="22"/>
                <w:szCs w:val="22"/>
              </w:rPr>
              <w:t>Hdh</w:t>
            </w:r>
            <w:proofErr w:type="spellEnd"/>
            <w:r>
              <w:rPr>
                <w:b/>
                <w:color w:val="FF0000"/>
                <w:spacing w:val="8"/>
                <w:sz w:val="22"/>
                <w:szCs w:val="22"/>
              </w:rPr>
              <w:t xml:space="preserve">. </w:t>
            </w:r>
            <w:proofErr w:type="spellStart"/>
            <w:r>
              <w:rPr>
                <w:b/>
                <w:color w:val="FF0000"/>
                <w:spacing w:val="8"/>
                <w:sz w:val="22"/>
                <w:szCs w:val="22"/>
              </w:rPr>
              <w:t>Hanimaadhoo</w:t>
            </w:r>
            <w:proofErr w:type="spellEnd"/>
            <w:r>
              <w:rPr>
                <w:b/>
                <w:color w:val="FF0000"/>
                <w:spacing w:val="8"/>
                <w:sz w:val="22"/>
                <w:szCs w:val="22"/>
              </w:rPr>
              <w:t xml:space="preserve"> 70 and </w:t>
            </w:r>
            <w:proofErr w:type="spellStart"/>
            <w:r>
              <w:rPr>
                <w:b/>
                <w:color w:val="FF0000"/>
                <w:spacing w:val="8"/>
                <w:sz w:val="22"/>
                <w:szCs w:val="22"/>
              </w:rPr>
              <w:t>Hdh</w:t>
            </w:r>
            <w:proofErr w:type="spellEnd"/>
            <w:r>
              <w:rPr>
                <w:b/>
                <w:color w:val="FF0000"/>
                <w:spacing w:val="8"/>
                <w:sz w:val="22"/>
                <w:szCs w:val="22"/>
              </w:rPr>
              <w:t xml:space="preserve">. </w:t>
            </w:r>
            <w:proofErr w:type="spellStart"/>
            <w:r>
              <w:rPr>
                <w:b/>
                <w:color w:val="FF0000"/>
                <w:spacing w:val="8"/>
                <w:sz w:val="22"/>
                <w:szCs w:val="22"/>
              </w:rPr>
              <w:t>Nolhivaram</w:t>
            </w:r>
            <w:proofErr w:type="spellEnd"/>
            <w:r>
              <w:rPr>
                <w:b/>
                <w:color w:val="FF0000"/>
                <w:spacing w:val="8"/>
                <w:sz w:val="22"/>
                <w:szCs w:val="22"/>
              </w:rPr>
              <w:t xml:space="preserve"> 52 Housing Units</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606095">
              <w:rPr>
                <w:b/>
                <w:color w:val="FF0000"/>
                <w:spacing w:val="8"/>
                <w:sz w:val="22"/>
                <w:szCs w:val="22"/>
              </w:rPr>
              <w:t>G-18</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606095">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606095">
              <w:rPr>
                <w:bCs/>
                <w:color w:val="FF0000"/>
                <w:spacing w:val="8"/>
                <w:sz w:val="22"/>
                <w:szCs w:val="22"/>
              </w:rPr>
              <w:t>NA</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606095">
            <w:pPr>
              <w:tabs>
                <w:tab w:val="right" w:pos="7254"/>
              </w:tabs>
              <w:spacing w:after="120"/>
              <w:rPr>
                <w:sz w:val="22"/>
                <w:szCs w:val="22"/>
              </w:rPr>
            </w:pPr>
            <w:r w:rsidRPr="00297E65">
              <w:rPr>
                <w:sz w:val="22"/>
                <w:szCs w:val="22"/>
              </w:rPr>
              <w:t xml:space="preserve">Date: </w:t>
            </w:r>
            <w:r w:rsidR="00606095">
              <w:rPr>
                <w:b/>
                <w:color w:val="FF0000"/>
                <w:sz w:val="22"/>
                <w:szCs w:val="22"/>
                <w:lang w:val="en-GB"/>
              </w:rPr>
              <w:t>15</w:t>
            </w:r>
            <w:r w:rsidR="00606095" w:rsidRPr="00606095">
              <w:rPr>
                <w:b/>
                <w:color w:val="FF0000"/>
                <w:sz w:val="22"/>
                <w:szCs w:val="22"/>
                <w:vertAlign w:val="superscript"/>
                <w:lang w:val="en-GB"/>
              </w:rPr>
              <w:t>th</w:t>
            </w:r>
            <w:r w:rsidR="00606095">
              <w:rPr>
                <w:b/>
                <w:color w:val="FF0000"/>
                <w:sz w:val="22"/>
                <w:szCs w:val="22"/>
                <w:lang w:val="en-GB"/>
              </w:rPr>
              <w:t xml:space="preserve"> September 2015</w:t>
            </w:r>
          </w:p>
          <w:p w:rsidR="00372848" w:rsidRDefault="00372848" w:rsidP="00606095">
            <w:pPr>
              <w:tabs>
                <w:tab w:val="right" w:pos="7254"/>
              </w:tabs>
              <w:spacing w:after="160"/>
              <w:rPr>
                <w:b/>
                <w:color w:val="FF0000"/>
                <w:sz w:val="22"/>
                <w:szCs w:val="22"/>
                <w:lang w:val="en-GB"/>
              </w:rPr>
            </w:pPr>
            <w:r w:rsidRPr="00297E65">
              <w:rPr>
                <w:sz w:val="22"/>
                <w:szCs w:val="22"/>
              </w:rPr>
              <w:t xml:space="preserve">Time: </w:t>
            </w:r>
            <w:r w:rsidR="00606095">
              <w:rPr>
                <w:b/>
                <w:color w:val="FF0000"/>
                <w:sz w:val="22"/>
                <w:szCs w:val="22"/>
                <w:lang w:val="en-GB"/>
              </w:rPr>
              <w:t>14:00hrs</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606095" w:rsidP="001D7E30">
            <w:pPr>
              <w:tabs>
                <w:tab w:val="right" w:pos="7254"/>
              </w:tabs>
              <w:spacing w:after="60"/>
              <w:ind w:left="720"/>
              <w:rPr>
                <w:bCs/>
                <w:iCs/>
                <w:color w:val="FF0000"/>
                <w:sz w:val="22"/>
                <w:szCs w:val="22"/>
              </w:rPr>
            </w:pPr>
            <w:r>
              <w:rPr>
                <w:bCs/>
                <w:iCs/>
                <w:color w:val="FF0000"/>
                <w:sz w:val="22"/>
                <w:szCs w:val="22"/>
              </w:rPr>
              <w:t xml:space="preserve">Aishath </w:t>
            </w:r>
            <w:proofErr w:type="spellStart"/>
            <w:r>
              <w:rPr>
                <w:bCs/>
                <w:iCs/>
                <w:color w:val="FF0000"/>
                <w:sz w:val="22"/>
                <w:szCs w:val="22"/>
              </w:rPr>
              <w:t>Nadheema</w:t>
            </w:r>
            <w:proofErr w:type="spellEnd"/>
          </w:p>
          <w:p w:rsidR="001D7E30" w:rsidRPr="00297E65" w:rsidRDefault="00606095" w:rsidP="001D7E30">
            <w:pPr>
              <w:tabs>
                <w:tab w:val="right" w:pos="7254"/>
              </w:tabs>
              <w:spacing w:after="60"/>
              <w:ind w:left="720"/>
              <w:rPr>
                <w:bCs/>
                <w:iCs/>
                <w:sz w:val="22"/>
                <w:szCs w:val="22"/>
              </w:rPr>
            </w:pPr>
            <w:r>
              <w:rPr>
                <w:bCs/>
                <w:iCs/>
                <w:color w:val="FF0000"/>
                <w:sz w:val="22"/>
                <w:szCs w:val="22"/>
              </w:rPr>
              <w:t>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606095">
            <w:pPr>
              <w:tabs>
                <w:tab w:val="right" w:pos="7254"/>
              </w:tabs>
              <w:spacing w:after="60"/>
              <w:ind w:left="720"/>
              <w:rPr>
                <w:bCs/>
                <w:iCs/>
                <w:sz w:val="22"/>
                <w:szCs w:val="22"/>
              </w:rPr>
            </w:pPr>
            <w:r w:rsidRPr="00297E65">
              <w:rPr>
                <w:bCs/>
                <w:iCs/>
                <w:sz w:val="22"/>
                <w:szCs w:val="22"/>
              </w:rPr>
              <w:t>Tel: (960) 3349</w:t>
            </w:r>
            <w:r w:rsidR="00606095">
              <w:rPr>
                <w:bCs/>
                <w:iCs/>
                <w:color w:val="FF0000"/>
                <w:sz w:val="22"/>
                <w:szCs w:val="22"/>
              </w:rPr>
              <w:t>296</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606095">
            <w:pPr>
              <w:tabs>
                <w:tab w:val="right" w:pos="7254"/>
              </w:tabs>
              <w:spacing w:after="60"/>
              <w:ind w:left="720"/>
              <w:rPr>
                <w:bCs/>
                <w:iCs/>
                <w:sz w:val="22"/>
                <w:szCs w:val="22"/>
              </w:rPr>
            </w:pPr>
            <w:r w:rsidRPr="00297E65">
              <w:rPr>
                <w:bCs/>
                <w:iCs/>
                <w:sz w:val="22"/>
                <w:szCs w:val="22"/>
              </w:rPr>
              <w:t xml:space="preserve">E-Mail: </w:t>
            </w:r>
            <w:r w:rsidR="00606095">
              <w:rPr>
                <w:bCs/>
                <w:iCs/>
                <w:color w:val="FF0000"/>
                <w:sz w:val="22"/>
                <w:szCs w:val="22"/>
              </w:rPr>
              <w:t>aishath.nadheema@finance.gov.mv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606095"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16.09.2015 1500hrs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60609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606095">
              <w:rPr>
                <w:color w:val="FF0000"/>
                <w:spacing w:val="8"/>
                <w:sz w:val="22"/>
                <w:szCs w:val="22"/>
              </w:rPr>
              <w:t>15,000/-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606095">
            <w:pPr>
              <w:tabs>
                <w:tab w:val="right" w:pos="7254"/>
              </w:tabs>
              <w:spacing w:after="60"/>
              <w:ind w:left="720"/>
              <w:rPr>
                <w:bCs/>
                <w:sz w:val="22"/>
                <w:szCs w:val="22"/>
              </w:rPr>
            </w:pPr>
            <w:r w:rsidRPr="00297E65">
              <w:rPr>
                <w:bCs/>
                <w:sz w:val="22"/>
                <w:szCs w:val="22"/>
              </w:rPr>
              <w:t>Tel: (960) 3349</w:t>
            </w:r>
            <w:r w:rsidR="00606095">
              <w:rPr>
                <w:bCs/>
                <w:color w:val="FF0000"/>
                <w:sz w:val="22"/>
                <w:szCs w:val="22"/>
              </w:rPr>
              <w:t>296</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D37F4F">
            <w:pPr>
              <w:tabs>
                <w:tab w:val="right" w:pos="7254"/>
              </w:tabs>
              <w:spacing w:after="120"/>
              <w:rPr>
                <w:sz w:val="22"/>
                <w:szCs w:val="22"/>
              </w:rPr>
            </w:pPr>
            <w:r w:rsidRPr="00297E65">
              <w:rPr>
                <w:sz w:val="22"/>
                <w:szCs w:val="22"/>
              </w:rPr>
              <w:t xml:space="preserve">Date: </w:t>
            </w:r>
            <w:r w:rsidR="00D37F4F">
              <w:rPr>
                <w:b/>
                <w:color w:val="FF0000"/>
                <w:sz w:val="22"/>
                <w:szCs w:val="22"/>
                <w:lang w:val="en-GB"/>
              </w:rPr>
              <w:t>30</w:t>
            </w:r>
            <w:r w:rsidR="00D37F4F" w:rsidRPr="00D37F4F">
              <w:rPr>
                <w:b/>
                <w:color w:val="FF0000"/>
                <w:sz w:val="22"/>
                <w:szCs w:val="22"/>
                <w:vertAlign w:val="superscript"/>
                <w:lang w:val="en-GB"/>
              </w:rPr>
              <w:t>th</w:t>
            </w:r>
            <w:r w:rsidR="00D37F4F">
              <w:rPr>
                <w:b/>
                <w:color w:val="FF0000"/>
                <w:sz w:val="22"/>
                <w:szCs w:val="22"/>
                <w:lang w:val="en-GB"/>
              </w:rPr>
              <w:t xml:space="preserve"> September 2015</w:t>
            </w:r>
          </w:p>
          <w:p w:rsidR="001D7E30" w:rsidRPr="00297E65" w:rsidRDefault="001D7E30" w:rsidP="00D37F4F">
            <w:pPr>
              <w:tabs>
                <w:tab w:val="right" w:pos="7254"/>
              </w:tabs>
              <w:spacing w:after="120"/>
              <w:rPr>
                <w:sz w:val="22"/>
                <w:szCs w:val="22"/>
              </w:rPr>
            </w:pPr>
            <w:r w:rsidRPr="00297E65">
              <w:rPr>
                <w:sz w:val="22"/>
                <w:szCs w:val="22"/>
              </w:rPr>
              <w:t xml:space="preserve">Time: </w:t>
            </w:r>
            <w:r w:rsidR="00D37F4F">
              <w:rPr>
                <w:b/>
                <w:color w:val="FF0000"/>
                <w:sz w:val="22"/>
                <w:szCs w:val="22"/>
                <w:lang w:val="en-GB"/>
              </w:rPr>
              <w:t>11:00hrs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6"/>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D37F4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proofErr w:type="gramStart"/>
      <w:r w:rsidR="002F649C">
        <w:rPr>
          <w:spacing w:val="8"/>
          <w:sz w:val="22"/>
          <w:szCs w:val="22"/>
        </w:rPr>
        <w:t xml:space="preserve">Supply </w:t>
      </w:r>
      <w:r w:rsidR="00D37F4F">
        <w:rPr>
          <w:spacing w:val="8"/>
          <w:sz w:val="22"/>
          <w:szCs w:val="22"/>
        </w:rPr>
        <w:t>,delivery</w:t>
      </w:r>
      <w:proofErr w:type="gramEnd"/>
      <w:r w:rsidR="00D37F4F">
        <w:rPr>
          <w:spacing w:val="8"/>
          <w:sz w:val="22"/>
          <w:szCs w:val="22"/>
        </w:rPr>
        <w:t xml:space="preserve"> and Installation of Water tank </w:t>
      </w:r>
      <w:proofErr w:type="spellStart"/>
      <w:r w:rsidR="00D37F4F">
        <w:rPr>
          <w:spacing w:val="8"/>
          <w:sz w:val="22"/>
          <w:szCs w:val="22"/>
        </w:rPr>
        <w:t>Hdh</w:t>
      </w:r>
      <w:proofErr w:type="spellEnd"/>
      <w:r w:rsidR="00D37F4F">
        <w:rPr>
          <w:spacing w:val="8"/>
          <w:sz w:val="22"/>
          <w:szCs w:val="22"/>
        </w:rPr>
        <w:t xml:space="preserve">. </w:t>
      </w:r>
      <w:proofErr w:type="spellStart"/>
      <w:r w:rsidR="00D37F4F">
        <w:rPr>
          <w:spacing w:val="8"/>
          <w:sz w:val="22"/>
          <w:szCs w:val="22"/>
        </w:rPr>
        <w:t>Hanimaadhoo</w:t>
      </w:r>
      <w:proofErr w:type="spellEnd"/>
      <w:r w:rsidR="00D37F4F">
        <w:rPr>
          <w:spacing w:val="8"/>
          <w:sz w:val="22"/>
          <w:szCs w:val="22"/>
        </w:rPr>
        <w:t xml:space="preserve"> 70 and </w:t>
      </w:r>
      <w:proofErr w:type="spellStart"/>
      <w:r w:rsidR="00D37F4F">
        <w:rPr>
          <w:spacing w:val="8"/>
          <w:sz w:val="22"/>
          <w:szCs w:val="22"/>
        </w:rPr>
        <w:t>Hdh</w:t>
      </w:r>
      <w:proofErr w:type="spellEnd"/>
      <w:r w:rsidR="00D37F4F">
        <w:rPr>
          <w:spacing w:val="8"/>
          <w:sz w:val="22"/>
          <w:szCs w:val="22"/>
        </w:rPr>
        <w:t xml:space="preserve">. </w:t>
      </w:r>
      <w:proofErr w:type="spellStart"/>
      <w:r w:rsidR="00D37F4F">
        <w:rPr>
          <w:spacing w:val="8"/>
          <w:sz w:val="22"/>
          <w:szCs w:val="22"/>
        </w:rPr>
        <w:t>Nolhivaramfaru</w:t>
      </w:r>
      <w:proofErr w:type="spellEnd"/>
      <w:r w:rsidR="00D37F4F">
        <w:rPr>
          <w:spacing w:val="8"/>
          <w:sz w:val="22"/>
          <w:szCs w:val="22"/>
        </w:rPr>
        <w:t xml:space="preserve"> 52 Housing Units</w:t>
      </w:r>
      <w:bookmarkStart w:id="73" w:name="_GoBack"/>
      <w:bookmarkEnd w:id="73"/>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095" w:rsidRDefault="00606095">
      <w:r>
        <w:separator/>
      </w:r>
    </w:p>
  </w:endnote>
  <w:endnote w:type="continuationSeparator" w:id="0">
    <w:p w:rsidR="00606095" w:rsidRDefault="00606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06095" w:rsidRDefault="00606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3DF3A"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095" w:rsidRDefault="00606095">
      <w:r>
        <w:separator/>
      </w:r>
    </w:p>
  </w:footnote>
  <w:footnote w:type="continuationSeparator" w:id="0">
    <w:p w:rsidR="00606095" w:rsidRDefault="00606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06095" w:rsidRDefault="00606095">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FA166"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D37F4F">
      <w:rPr>
        <w:rFonts w:ascii="Arial Narrow" w:hAnsi="Arial Narrow"/>
        <w:noProof/>
        <w:sz w:val="22"/>
        <w:szCs w:val="22"/>
      </w:rPr>
      <w:t>49</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D37F4F">
      <w:rPr>
        <w:rFonts w:ascii="Arial Narrow" w:hAnsi="Arial Narrow"/>
        <w:noProof/>
        <w:sz w:val="22"/>
        <w:szCs w:val="22"/>
      </w:rPr>
      <w:t>53</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DB10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D5A31"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20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561E7"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05712"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29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DB8C0"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37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58511"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FB6E9"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45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095" w:rsidRDefault="00606095">
    <w:pPr>
      <w:pStyle w:val="Header"/>
      <w:rPr>
        <w:sz w:val="22"/>
      </w:rPr>
    </w:pPr>
  </w:p>
  <w:p w:rsidR="00606095" w:rsidRPr="00613259" w:rsidRDefault="0060609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B4DD6"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37F4F">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2">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3">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6">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7"/>
  </w:num>
  <w:num w:numId="17">
    <w:abstractNumId w:val="2"/>
  </w:num>
  <w:num w:numId="18">
    <w:abstractNumId w:val="23"/>
  </w:num>
  <w:num w:numId="19">
    <w:abstractNumId w:val="20"/>
  </w:num>
  <w:num w:numId="20">
    <w:abstractNumId w:val="25"/>
  </w:num>
  <w:num w:numId="21">
    <w:abstractNumId w:val="11"/>
  </w:num>
  <w:num w:numId="22">
    <w:abstractNumId w:val="32"/>
  </w:num>
  <w:num w:numId="23">
    <w:abstractNumId w:val="30"/>
  </w:num>
  <w:num w:numId="24">
    <w:abstractNumId w:val="36"/>
  </w:num>
  <w:num w:numId="25">
    <w:abstractNumId w:val="4"/>
  </w:num>
  <w:num w:numId="26">
    <w:abstractNumId w:val="22"/>
  </w:num>
  <w:num w:numId="27">
    <w:abstractNumId w:val="21"/>
  </w:num>
  <w:num w:numId="28">
    <w:abstractNumId w:val="15"/>
  </w:num>
  <w:num w:numId="29">
    <w:abstractNumId w:val="29"/>
  </w:num>
  <w:num w:numId="30">
    <w:abstractNumId w:val="35"/>
  </w:num>
  <w:num w:numId="31">
    <w:abstractNumId w:val="28"/>
  </w:num>
  <w:num w:numId="32">
    <w:abstractNumId w:val="33"/>
  </w:num>
  <w:num w:numId="33">
    <w:abstractNumId w:val="1"/>
  </w:num>
  <w:num w:numId="34">
    <w:abstractNumId w:val="14"/>
  </w:num>
  <w:num w:numId="35">
    <w:abstractNumId w:val="8"/>
  </w:num>
  <w:num w:numId="36">
    <w:abstractNumId w:val="34"/>
  </w:num>
  <w:num w:numId="37">
    <w:abstractNumId w:val="3"/>
  </w:num>
  <w:num w:numId="38">
    <w:abstractNumId w:val="12"/>
  </w:num>
  <w:num w:numId="39">
    <w:abstractNumId w:val="31"/>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06095"/>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37F4F"/>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4577"/>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C05C2-71F4-42EE-B5C1-0CA1B6E41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223</TotalTime>
  <Pages>53</Pages>
  <Words>10766</Words>
  <Characters>61369</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AISHATH NADHEEMA</cp:lastModifiedBy>
  <cp:revision>25</cp:revision>
  <cp:lastPrinted>2015-02-19T11:22:00Z</cp:lastPrinted>
  <dcterms:created xsi:type="dcterms:W3CDTF">2012-04-12T03:27:00Z</dcterms:created>
  <dcterms:modified xsi:type="dcterms:W3CDTF">2015-08-31T05:01:00Z</dcterms:modified>
</cp:coreProperties>
</file>