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BE" w:rsidRDefault="004A40AC" w:rsidP="007C5C7D">
      <w:pPr>
        <w:jc w:val="both"/>
        <w:rPr>
          <w:b/>
          <w:bCs/>
        </w:rPr>
      </w:pPr>
      <w:r>
        <w:rPr>
          <w:b/>
          <w:bCs/>
        </w:rPr>
        <w:t>Introduction</w:t>
      </w:r>
    </w:p>
    <w:p w:rsidR="004A40AC" w:rsidRDefault="004A40AC" w:rsidP="006C0BEE">
      <w:pPr>
        <w:jc w:val="both"/>
      </w:pPr>
      <w:r>
        <w:t xml:space="preserve">This Internal Audit Quality Assessment </w:t>
      </w:r>
      <w:r w:rsidR="00433625">
        <w:t xml:space="preserve">is prepared by the Internal Audit Unit of </w:t>
      </w:r>
      <w:r w:rsidR="006C0BEE">
        <w:t>…………… (</w:t>
      </w:r>
      <w:proofErr w:type="gramStart"/>
      <w:r w:rsidR="006C0BEE">
        <w:t>name</w:t>
      </w:r>
      <w:proofErr w:type="gramEnd"/>
      <w:r w:rsidR="006C0BEE">
        <w:t xml:space="preserve"> of the office) </w:t>
      </w:r>
      <w:r w:rsidR="00125516">
        <w:t>based on the International Standards for the Professional Practice of Internal Auditing (ISPPIA), which is mandated under the International Professional Practices Framework (IPPF). The</w:t>
      </w:r>
      <w:r w:rsidR="00433625">
        <w:t xml:space="preserve"> following </w:t>
      </w:r>
      <w:r w:rsidR="00125516">
        <w:t xml:space="preserve">are the </w:t>
      </w:r>
      <w:r w:rsidR="00433625">
        <w:t>intended purposes</w:t>
      </w:r>
      <w:r w:rsidR="00125516">
        <w:t xml:space="preserve"> of this Quality Assessment</w:t>
      </w:r>
      <w:r>
        <w:t>;</w:t>
      </w:r>
    </w:p>
    <w:p w:rsidR="004A40AC" w:rsidRDefault="00433625" w:rsidP="007C5C7D">
      <w:pPr>
        <w:pStyle w:val="ListParagraph"/>
        <w:numPr>
          <w:ilvl w:val="0"/>
          <w:numId w:val="1"/>
        </w:numPr>
        <w:jc w:val="both"/>
      </w:pPr>
      <w:r>
        <w:t>To f</w:t>
      </w:r>
      <w:r w:rsidR="004A40AC">
        <w:t xml:space="preserve">acilitate identification of actions </w:t>
      </w:r>
      <w:r>
        <w:t xml:space="preserve">required </w:t>
      </w:r>
      <w:r w:rsidR="004A40AC">
        <w:t>for continuous improvement</w:t>
      </w:r>
      <w:r>
        <w:t xml:space="preserve"> and </w:t>
      </w:r>
      <w:r w:rsidR="004A40AC">
        <w:t xml:space="preserve">evaluation of progress </w:t>
      </w:r>
      <w:r>
        <w:t>of the improvement plans</w:t>
      </w:r>
    </w:p>
    <w:p w:rsidR="004A40AC" w:rsidRDefault="00433625" w:rsidP="006C0BEE">
      <w:pPr>
        <w:pStyle w:val="ListParagraph"/>
        <w:numPr>
          <w:ilvl w:val="0"/>
          <w:numId w:val="1"/>
        </w:numPr>
        <w:jc w:val="both"/>
      </w:pPr>
      <w:r>
        <w:t>To p</w:t>
      </w:r>
      <w:r w:rsidR="004A40AC">
        <w:t>rovide</w:t>
      </w:r>
      <w:r>
        <w:t xml:space="preserve"> an approach for</w:t>
      </w:r>
      <w:r w:rsidR="004A40AC">
        <w:t xml:space="preserve"> internal reviews</w:t>
      </w:r>
      <w:r>
        <w:t xml:space="preserve"> by any qualified employee or team of </w:t>
      </w:r>
      <w:r w:rsidR="006C0BEE">
        <w:t>…….</w:t>
      </w:r>
      <w:r>
        <w:t xml:space="preserve"> </w:t>
      </w:r>
      <w:r w:rsidR="006C0BEE">
        <w:t xml:space="preserve">(name of the office) </w:t>
      </w:r>
      <w:r w:rsidR="006C0BEE">
        <w:t xml:space="preserve"> </w:t>
      </w:r>
      <w:r>
        <w:t>other than the Internal Audit Unit</w:t>
      </w:r>
    </w:p>
    <w:p w:rsidR="002D120A" w:rsidRPr="002D120A" w:rsidRDefault="002D120A" w:rsidP="007C736F">
      <w:pPr>
        <w:jc w:val="both"/>
        <w:rPr>
          <w:b/>
          <w:bCs/>
        </w:rPr>
      </w:pPr>
      <w:r>
        <w:rPr>
          <w:b/>
          <w:bCs/>
        </w:rPr>
        <w:t>Assessment</w:t>
      </w:r>
    </w:p>
    <w:p w:rsidR="002D120A" w:rsidRDefault="007C736F" w:rsidP="007C736F">
      <w:pPr>
        <w:jc w:val="both"/>
      </w:pPr>
      <w:r>
        <w:t>The assessment is based on the following four criteria defined.</w:t>
      </w:r>
    </w:p>
    <w:p w:rsidR="007C736F" w:rsidRDefault="007C736F" w:rsidP="007C736F">
      <w:pPr>
        <w:pStyle w:val="ListParagraph"/>
        <w:numPr>
          <w:ilvl w:val="0"/>
          <w:numId w:val="2"/>
        </w:numPr>
        <w:jc w:val="both"/>
      </w:pPr>
      <w:r>
        <w:t xml:space="preserve">FC </w:t>
      </w:r>
      <w:r>
        <w:tab/>
        <w:t>Fully Conforms</w:t>
      </w:r>
      <w:r w:rsidR="008F4A2A">
        <w:t>: No actions required</w:t>
      </w:r>
    </w:p>
    <w:p w:rsidR="007C736F" w:rsidRDefault="007C736F" w:rsidP="007C736F">
      <w:pPr>
        <w:pStyle w:val="ListParagraph"/>
        <w:numPr>
          <w:ilvl w:val="0"/>
          <w:numId w:val="2"/>
        </w:numPr>
        <w:jc w:val="both"/>
      </w:pPr>
      <w:r>
        <w:t xml:space="preserve">GC </w:t>
      </w:r>
      <w:r w:rsidR="008F4A2A">
        <w:tab/>
      </w:r>
      <w:r>
        <w:t>Generally Conforms</w:t>
      </w:r>
      <w:r w:rsidR="008F4A2A">
        <w:t>: Actions to improve</w:t>
      </w:r>
    </w:p>
    <w:p w:rsidR="007C736F" w:rsidRDefault="007C736F" w:rsidP="008F4A2A">
      <w:pPr>
        <w:pStyle w:val="ListParagraph"/>
        <w:numPr>
          <w:ilvl w:val="0"/>
          <w:numId w:val="2"/>
        </w:numPr>
        <w:jc w:val="both"/>
      </w:pPr>
      <w:r>
        <w:t xml:space="preserve">PC </w:t>
      </w:r>
      <w:r>
        <w:tab/>
        <w:t>Partially Conforms</w:t>
      </w:r>
      <w:r w:rsidR="008F4A2A">
        <w:t>: Actions to correct</w:t>
      </w:r>
    </w:p>
    <w:p w:rsidR="007C736F" w:rsidRDefault="007C736F" w:rsidP="008F4A2A">
      <w:pPr>
        <w:pStyle w:val="ListParagraph"/>
        <w:numPr>
          <w:ilvl w:val="0"/>
          <w:numId w:val="2"/>
        </w:numPr>
        <w:jc w:val="both"/>
      </w:pPr>
      <w:r>
        <w:t xml:space="preserve">DC </w:t>
      </w:r>
      <w:r>
        <w:tab/>
        <w:t xml:space="preserve">Does Not </w:t>
      </w:r>
      <w:r w:rsidR="00703782">
        <w:t>Conform</w:t>
      </w:r>
      <w:r w:rsidR="008F4A2A">
        <w:t>: Urgent actions to correct</w:t>
      </w:r>
    </w:p>
    <w:p w:rsidR="002D120A" w:rsidRPr="002D120A" w:rsidRDefault="007C736F" w:rsidP="007C5C7D">
      <w:pPr>
        <w:jc w:val="both"/>
        <w:rPr>
          <w:b/>
          <w:bCs/>
        </w:rPr>
      </w:pPr>
      <w:r>
        <w:rPr>
          <w:b/>
          <w:bCs/>
        </w:rPr>
        <w:t>Review</w:t>
      </w:r>
      <w:r w:rsidR="002D120A">
        <w:rPr>
          <w:b/>
          <w:bCs/>
        </w:rPr>
        <w:t xml:space="preserve"> Process </w:t>
      </w:r>
    </w:p>
    <w:p w:rsidR="002D7151" w:rsidRPr="000768E1" w:rsidRDefault="00A16B48" w:rsidP="000768E1">
      <w:pPr>
        <w:jc w:val="both"/>
      </w:pPr>
      <w:r>
        <w:t xml:space="preserve">The internal review process would be conducted in </w:t>
      </w:r>
      <w:r w:rsidR="00125516">
        <w:t>two</w:t>
      </w:r>
      <w:r>
        <w:t xml:space="preserve"> segments or sections</w:t>
      </w:r>
      <w:r w:rsidR="00125516">
        <w:t xml:space="preserve"> namely attribute standards and performance standards as per the ISPPIA. </w:t>
      </w:r>
      <w:r>
        <w:t xml:space="preserve"> </w:t>
      </w:r>
    </w:p>
    <w:tbl>
      <w:tblPr>
        <w:tblStyle w:val="TableGrid"/>
        <w:tblW w:w="0" w:type="auto"/>
        <w:tblInd w:w="108" w:type="dxa"/>
        <w:tblLook w:val="04A0" w:firstRow="1" w:lastRow="0" w:firstColumn="1" w:lastColumn="0" w:noHBand="0" w:noVBand="1"/>
      </w:tblPr>
      <w:tblGrid>
        <w:gridCol w:w="3065"/>
        <w:gridCol w:w="893"/>
        <w:gridCol w:w="2820"/>
        <w:gridCol w:w="2850"/>
      </w:tblGrid>
      <w:tr w:rsidR="00D00FBA" w:rsidRPr="00C46F45" w:rsidTr="00981981">
        <w:tc>
          <w:tcPr>
            <w:tcW w:w="9781" w:type="dxa"/>
            <w:gridSpan w:val="4"/>
            <w:tcBorders>
              <w:bottom w:val="nil"/>
            </w:tcBorders>
            <w:shd w:val="clear" w:color="auto" w:fill="0070C0"/>
          </w:tcPr>
          <w:p w:rsidR="00D00FBA" w:rsidRPr="00C46F45" w:rsidRDefault="000768E1" w:rsidP="007C5C7D">
            <w:pPr>
              <w:jc w:val="both"/>
              <w:rPr>
                <w:b/>
                <w:bCs/>
                <w:color w:val="FFFFFF" w:themeColor="background1"/>
              </w:rPr>
            </w:pPr>
            <w:r>
              <w:rPr>
                <w:b/>
                <w:bCs/>
                <w:color w:val="FFFFFF" w:themeColor="background1"/>
              </w:rPr>
              <w:t xml:space="preserve">Attribute Standards </w:t>
            </w:r>
          </w:p>
        </w:tc>
      </w:tr>
      <w:tr w:rsidR="002D120A" w:rsidRPr="00C46F45" w:rsidTr="00E529DB">
        <w:tc>
          <w:tcPr>
            <w:tcW w:w="3119" w:type="dxa"/>
            <w:tcBorders>
              <w:top w:val="nil"/>
              <w:bottom w:val="single" w:sz="4" w:space="0" w:color="0070C0"/>
              <w:right w:val="single" w:sz="4" w:space="0" w:color="auto"/>
            </w:tcBorders>
            <w:shd w:val="clear" w:color="auto" w:fill="00B0F0"/>
          </w:tcPr>
          <w:p w:rsidR="002D120A" w:rsidRPr="00C46F45" w:rsidRDefault="008F4A2A" w:rsidP="007C5C7D">
            <w:pPr>
              <w:jc w:val="both"/>
              <w:rPr>
                <w:b/>
                <w:bCs/>
              </w:rPr>
            </w:pPr>
            <w:r w:rsidRPr="00C46F45">
              <w:rPr>
                <w:b/>
                <w:bCs/>
              </w:rPr>
              <w:t>Practices</w:t>
            </w:r>
            <w:r w:rsidR="00E37153">
              <w:rPr>
                <w:b/>
                <w:bCs/>
              </w:rPr>
              <w:t xml:space="preserve"> as per the Standard</w:t>
            </w:r>
          </w:p>
        </w:tc>
        <w:tc>
          <w:tcPr>
            <w:tcW w:w="893" w:type="dxa"/>
            <w:tcBorders>
              <w:top w:val="nil"/>
              <w:left w:val="single" w:sz="4" w:space="0" w:color="auto"/>
              <w:bottom w:val="single" w:sz="4" w:space="0" w:color="0070C0"/>
              <w:right w:val="single" w:sz="4" w:space="0" w:color="auto"/>
            </w:tcBorders>
            <w:shd w:val="clear" w:color="auto" w:fill="00B0F0"/>
          </w:tcPr>
          <w:p w:rsidR="002D120A" w:rsidRPr="00C46F45" w:rsidRDefault="00DD19C4" w:rsidP="00DD19C4">
            <w:pPr>
              <w:jc w:val="center"/>
              <w:rPr>
                <w:b/>
                <w:bCs/>
              </w:rPr>
            </w:pPr>
            <w:r>
              <w:rPr>
                <w:b/>
                <w:bCs/>
              </w:rPr>
              <w:t>Criteria</w:t>
            </w:r>
          </w:p>
        </w:tc>
        <w:tc>
          <w:tcPr>
            <w:tcW w:w="2884" w:type="dxa"/>
            <w:tcBorders>
              <w:top w:val="nil"/>
              <w:left w:val="single" w:sz="4" w:space="0" w:color="auto"/>
              <w:bottom w:val="single" w:sz="4" w:space="0" w:color="0070C0"/>
              <w:right w:val="single" w:sz="4" w:space="0" w:color="auto"/>
            </w:tcBorders>
            <w:shd w:val="clear" w:color="auto" w:fill="00B0F0"/>
          </w:tcPr>
          <w:p w:rsidR="002D120A" w:rsidRPr="00C46F45" w:rsidRDefault="008F4A2A" w:rsidP="008F4A2A">
            <w:pPr>
              <w:jc w:val="both"/>
              <w:rPr>
                <w:b/>
                <w:bCs/>
              </w:rPr>
            </w:pPr>
            <w:r w:rsidRPr="00C46F45">
              <w:rPr>
                <w:b/>
                <w:bCs/>
              </w:rPr>
              <w:t xml:space="preserve">Issues </w:t>
            </w:r>
            <w:r w:rsidR="00A40FC3">
              <w:rPr>
                <w:b/>
                <w:bCs/>
              </w:rPr>
              <w:t xml:space="preserve">Identified </w:t>
            </w:r>
          </w:p>
        </w:tc>
        <w:tc>
          <w:tcPr>
            <w:tcW w:w="2885" w:type="dxa"/>
            <w:tcBorders>
              <w:top w:val="nil"/>
              <w:left w:val="single" w:sz="4" w:space="0" w:color="auto"/>
              <w:bottom w:val="single" w:sz="4" w:space="0" w:color="0070C0"/>
            </w:tcBorders>
            <w:shd w:val="clear" w:color="auto" w:fill="00B0F0"/>
          </w:tcPr>
          <w:p w:rsidR="002D120A" w:rsidRPr="00C46F45" w:rsidRDefault="008F4A2A" w:rsidP="007C5C7D">
            <w:pPr>
              <w:jc w:val="both"/>
              <w:rPr>
                <w:b/>
                <w:bCs/>
              </w:rPr>
            </w:pPr>
            <w:r w:rsidRPr="00C46F45">
              <w:rPr>
                <w:b/>
                <w:bCs/>
              </w:rPr>
              <w:t xml:space="preserve">Recommendations </w:t>
            </w:r>
          </w:p>
        </w:tc>
      </w:tr>
      <w:tr w:rsidR="00E529DB" w:rsidTr="00E529DB">
        <w:tc>
          <w:tcPr>
            <w:tcW w:w="9781" w:type="dxa"/>
            <w:gridSpan w:val="4"/>
            <w:tcBorders>
              <w:top w:val="single" w:sz="4" w:space="0" w:color="0070C0"/>
              <w:bottom w:val="single" w:sz="4" w:space="0" w:color="0070C0"/>
            </w:tcBorders>
            <w:shd w:val="clear" w:color="auto" w:fill="C6D9F1" w:themeFill="text2" w:themeFillTint="33"/>
          </w:tcPr>
          <w:p w:rsidR="00E529DB" w:rsidRDefault="00E529DB" w:rsidP="007C5C7D">
            <w:pPr>
              <w:jc w:val="both"/>
            </w:pPr>
            <w:r w:rsidRPr="000768E1">
              <w:t>1000 – Purpose, Authority, and Responsibility</w:t>
            </w:r>
          </w:p>
        </w:tc>
      </w:tr>
      <w:tr w:rsidR="002D120A" w:rsidTr="00DD19C4">
        <w:tc>
          <w:tcPr>
            <w:tcW w:w="3119" w:type="dxa"/>
            <w:tcBorders>
              <w:top w:val="single" w:sz="4" w:space="0" w:color="0070C0"/>
              <w:bottom w:val="single" w:sz="4" w:space="0" w:color="0070C0"/>
            </w:tcBorders>
          </w:tcPr>
          <w:p w:rsidR="002D120A" w:rsidRDefault="00E96CD5" w:rsidP="00981981">
            <w:pPr>
              <w:jc w:val="both"/>
            </w:pPr>
            <w:r w:rsidRPr="000768E1">
              <w:t xml:space="preserve">1000 – </w:t>
            </w:r>
            <w:r w:rsidRPr="00E96CD5">
              <w:t>The purpose, authority, and responsibility of the internal audit activity must be formally defined in an internal audit charter, consistent with the Definition of Internal Auditing, the Code of Ethics, and the Standards.</w:t>
            </w:r>
          </w:p>
        </w:tc>
        <w:tc>
          <w:tcPr>
            <w:tcW w:w="893" w:type="dxa"/>
            <w:tcBorders>
              <w:top w:val="single" w:sz="4" w:space="0" w:color="0070C0"/>
              <w:bottom w:val="single" w:sz="4" w:space="0" w:color="0070C0"/>
            </w:tcBorders>
          </w:tcPr>
          <w:p w:rsidR="002D120A" w:rsidRDefault="002D120A" w:rsidP="00981981">
            <w:pPr>
              <w:jc w:val="center"/>
            </w:pPr>
          </w:p>
        </w:tc>
        <w:tc>
          <w:tcPr>
            <w:tcW w:w="2884" w:type="dxa"/>
            <w:tcBorders>
              <w:top w:val="single" w:sz="4" w:space="0" w:color="0070C0"/>
              <w:bottom w:val="single" w:sz="4" w:space="0" w:color="0070C0"/>
            </w:tcBorders>
          </w:tcPr>
          <w:p w:rsidR="002D120A" w:rsidRDefault="002D120A" w:rsidP="00981981">
            <w:pPr>
              <w:jc w:val="both"/>
            </w:pPr>
          </w:p>
        </w:tc>
        <w:tc>
          <w:tcPr>
            <w:tcW w:w="2885" w:type="dxa"/>
            <w:tcBorders>
              <w:top w:val="single" w:sz="4" w:space="0" w:color="0070C0"/>
              <w:bottom w:val="single" w:sz="4" w:space="0" w:color="0070C0"/>
            </w:tcBorders>
          </w:tcPr>
          <w:p w:rsidR="002D120A" w:rsidRDefault="002D120A" w:rsidP="00981981">
            <w:pPr>
              <w:jc w:val="both"/>
            </w:pPr>
          </w:p>
        </w:tc>
      </w:tr>
      <w:tr w:rsidR="00C46F45" w:rsidTr="00DD19C4">
        <w:tc>
          <w:tcPr>
            <w:tcW w:w="3119" w:type="dxa"/>
            <w:tcBorders>
              <w:top w:val="single" w:sz="4" w:space="0" w:color="0070C0"/>
              <w:bottom w:val="single" w:sz="4" w:space="0" w:color="0070C0"/>
            </w:tcBorders>
          </w:tcPr>
          <w:p w:rsidR="0065642C" w:rsidRDefault="00E96CD5" w:rsidP="00981981">
            <w:pPr>
              <w:jc w:val="both"/>
            </w:pPr>
            <w:r w:rsidRPr="000768E1">
              <w:t xml:space="preserve">1000 – </w:t>
            </w:r>
            <w:r w:rsidRPr="00E96CD5">
              <w:t>The chief audit executive must periodically review the internal audit charter and present it to senior management and the board for approval.</w:t>
            </w:r>
          </w:p>
        </w:tc>
        <w:tc>
          <w:tcPr>
            <w:tcW w:w="893" w:type="dxa"/>
            <w:tcBorders>
              <w:top w:val="single" w:sz="4" w:space="0" w:color="0070C0"/>
              <w:bottom w:val="single" w:sz="4" w:space="0" w:color="0070C0"/>
            </w:tcBorders>
          </w:tcPr>
          <w:p w:rsidR="00C46F45" w:rsidRDefault="00C46F45" w:rsidP="00981981">
            <w:pPr>
              <w:jc w:val="center"/>
            </w:pPr>
          </w:p>
        </w:tc>
        <w:tc>
          <w:tcPr>
            <w:tcW w:w="2884" w:type="dxa"/>
            <w:tcBorders>
              <w:top w:val="single" w:sz="4" w:space="0" w:color="0070C0"/>
              <w:bottom w:val="single" w:sz="4" w:space="0" w:color="0070C0"/>
            </w:tcBorders>
          </w:tcPr>
          <w:p w:rsidR="00C46F45" w:rsidRDefault="00C46F45" w:rsidP="00981981">
            <w:pPr>
              <w:jc w:val="both"/>
            </w:pPr>
          </w:p>
        </w:tc>
        <w:tc>
          <w:tcPr>
            <w:tcW w:w="2885" w:type="dxa"/>
            <w:tcBorders>
              <w:top w:val="single" w:sz="4" w:space="0" w:color="0070C0"/>
              <w:bottom w:val="single" w:sz="4" w:space="0" w:color="0070C0"/>
            </w:tcBorders>
          </w:tcPr>
          <w:p w:rsidR="00C46F45" w:rsidRDefault="00C46F45" w:rsidP="00981981">
            <w:pPr>
              <w:jc w:val="both"/>
            </w:pPr>
          </w:p>
        </w:tc>
      </w:tr>
      <w:tr w:rsidR="00C46F45" w:rsidTr="00E96CD5">
        <w:tc>
          <w:tcPr>
            <w:tcW w:w="3119" w:type="dxa"/>
            <w:tcBorders>
              <w:top w:val="single" w:sz="4" w:space="0" w:color="0070C0"/>
              <w:bottom w:val="single" w:sz="4" w:space="0" w:color="0070C0"/>
            </w:tcBorders>
          </w:tcPr>
          <w:p w:rsidR="00C46F45" w:rsidRDefault="00E96CD5" w:rsidP="00981981">
            <w:pPr>
              <w:jc w:val="both"/>
            </w:pPr>
            <w:r w:rsidRPr="00E96CD5">
              <w:t>1010 – Recognition of the Definition of Internal Auditing, the Code of Ethics, and the Standards in the Internal Audit Charter</w:t>
            </w:r>
          </w:p>
        </w:tc>
        <w:tc>
          <w:tcPr>
            <w:tcW w:w="893" w:type="dxa"/>
            <w:tcBorders>
              <w:top w:val="single" w:sz="4" w:space="0" w:color="0070C0"/>
              <w:bottom w:val="single" w:sz="4" w:space="0" w:color="0070C0"/>
            </w:tcBorders>
          </w:tcPr>
          <w:p w:rsidR="00C46F45" w:rsidRDefault="00C46F45" w:rsidP="00981981">
            <w:pPr>
              <w:jc w:val="center"/>
            </w:pPr>
          </w:p>
        </w:tc>
        <w:tc>
          <w:tcPr>
            <w:tcW w:w="2884" w:type="dxa"/>
            <w:tcBorders>
              <w:top w:val="single" w:sz="4" w:space="0" w:color="0070C0"/>
              <w:bottom w:val="single" w:sz="4" w:space="0" w:color="0070C0"/>
            </w:tcBorders>
          </w:tcPr>
          <w:p w:rsidR="00C46F45" w:rsidRDefault="00C46F45" w:rsidP="00981981">
            <w:pPr>
              <w:jc w:val="both"/>
            </w:pPr>
          </w:p>
        </w:tc>
        <w:tc>
          <w:tcPr>
            <w:tcW w:w="2885" w:type="dxa"/>
            <w:tcBorders>
              <w:top w:val="single" w:sz="4" w:space="0" w:color="0070C0"/>
              <w:bottom w:val="single" w:sz="4" w:space="0" w:color="0070C0"/>
            </w:tcBorders>
          </w:tcPr>
          <w:p w:rsidR="00C46F45" w:rsidRDefault="00C46F45" w:rsidP="00981981">
            <w:pPr>
              <w:jc w:val="both"/>
            </w:pPr>
          </w:p>
        </w:tc>
      </w:tr>
      <w:tr w:rsidR="00E96CD5" w:rsidTr="00E96CD5">
        <w:tc>
          <w:tcPr>
            <w:tcW w:w="9781" w:type="dxa"/>
            <w:gridSpan w:val="4"/>
            <w:tcBorders>
              <w:top w:val="single" w:sz="4" w:space="0" w:color="0070C0"/>
              <w:bottom w:val="single" w:sz="4" w:space="0" w:color="0070C0"/>
            </w:tcBorders>
            <w:shd w:val="clear" w:color="auto" w:fill="C6D9F1" w:themeFill="text2" w:themeFillTint="33"/>
          </w:tcPr>
          <w:p w:rsidR="00E96CD5" w:rsidRDefault="00E96CD5" w:rsidP="00981981">
            <w:pPr>
              <w:jc w:val="both"/>
            </w:pPr>
            <w:r w:rsidRPr="00E96CD5">
              <w:t>1100 – Independence and Objectivity</w:t>
            </w:r>
          </w:p>
        </w:tc>
      </w:tr>
      <w:tr w:rsidR="00A40FC3" w:rsidTr="00A40FC3">
        <w:tc>
          <w:tcPr>
            <w:tcW w:w="3119" w:type="dxa"/>
            <w:tcBorders>
              <w:top w:val="single" w:sz="4" w:space="0" w:color="0070C0"/>
              <w:bottom w:val="single" w:sz="4" w:space="0" w:color="0070C0"/>
            </w:tcBorders>
          </w:tcPr>
          <w:p w:rsidR="00A40FC3" w:rsidRDefault="00977E54" w:rsidP="00981981">
            <w:pPr>
              <w:jc w:val="both"/>
            </w:pPr>
            <w:r>
              <w:t xml:space="preserve">1100 – </w:t>
            </w:r>
            <w:r w:rsidRPr="00977E54">
              <w:t xml:space="preserve">The internal audit activity must be independent, </w:t>
            </w:r>
            <w:r w:rsidRPr="00977E54">
              <w:lastRenderedPageBreak/>
              <w:t>and internal auditors must be objective in performing their work.</w:t>
            </w:r>
          </w:p>
        </w:tc>
        <w:tc>
          <w:tcPr>
            <w:tcW w:w="893" w:type="dxa"/>
            <w:tcBorders>
              <w:top w:val="single" w:sz="4" w:space="0" w:color="0070C0"/>
              <w:bottom w:val="single" w:sz="4" w:space="0" w:color="0070C0"/>
            </w:tcBorders>
          </w:tcPr>
          <w:p w:rsidR="00A40FC3" w:rsidRDefault="00A40FC3" w:rsidP="00981981">
            <w:pPr>
              <w:jc w:val="center"/>
            </w:pPr>
          </w:p>
        </w:tc>
        <w:tc>
          <w:tcPr>
            <w:tcW w:w="2884" w:type="dxa"/>
            <w:tcBorders>
              <w:top w:val="single" w:sz="4" w:space="0" w:color="0070C0"/>
              <w:bottom w:val="single" w:sz="4" w:space="0" w:color="0070C0"/>
            </w:tcBorders>
          </w:tcPr>
          <w:p w:rsidR="00A40FC3" w:rsidRDefault="00A40FC3" w:rsidP="00981981">
            <w:pPr>
              <w:jc w:val="both"/>
            </w:pPr>
          </w:p>
        </w:tc>
        <w:tc>
          <w:tcPr>
            <w:tcW w:w="2885" w:type="dxa"/>
            <w:tcBorders>
              <w:top w:val="single" w:sz="4" w:space="0" w:color="0070C0"/>
              <w:bottom w:val="single" w:sz="4" w:space="0" w:color="0070C0"/>
            </w:tcBorders>
          </w:tcPr>
          <w:p w:rsidR="00A40FC3" w:rsidRDefault="00A40FC3" w:rsidP="00981981">
            <w:pPr>
              <w:jc w:val="both"/>
            </w:pPr>
          </w:p>
        </w:tc>
      </w:tr>
      <w:tr w:rsidR="00A40FC3" w:rsidTr="00A40FC3">
        <w:tc>
          <w:tcPr>
            <w:tcW w:w="3119" w:type="dxa"/>
            <w:tcBorders>
              <w:top w:val="single" w:sz="4" w:space="0" w:color="0070C0"/>
              <w:bottom w:val="single" w:sz="4" w:space="0" w:color="0070C0"/>
            </w:tcBorders>
          </w:tcPr>
          <w:p w:rsidR="00A40FC3" w:rsidRDefault="00981981" w:rsidP="00981981">
            <w:pPr>
              <w:jc w:val="both"/>
            </w:pPr>
            <w:r>
              <w:t>1110 – Organizational Independence: The chief audit executive must report to a level within the organization that allows the internal audit activity to fulfil its responsibilities.</w:t>
            </w:r>
          </w:p>
        </w:tc>
        <w:tc>
          <w:tcPr>
            <w:tcW w:w="893" w:type="dxa"/>
            <w:tcBorders>
              <w:top w:val="single" w:sz="4" w:space="0" w:color="0070C0"/>
              <w:bottom w:val="single" w:sz="4" w:space="0" w:color="0070C0"/>
            </w:tcBorders>
          </w:tcPr>
          <w:p w:rsidR="00A40FC3" w:rsidRDefault="00A40FC3" w:rsidP="00981981">
            <w:pPr>
              <w:jc w:val="center"/>
            </w:pPr>
          </w:p>
        </w:tc>
        <w:tc>
          <w:tcPr>
            <w:tcW w:w="2884" w:type="dxa"/>
            <w:tcBorders>
              <w:top w:val="single" w:sz="4" w:space="0" w:color="0070C0"/>
              <w:bottom w:val="single" w:sz="4" w:space="0" w:color="0070C0"/>
            </w:tcBorders>
          </w:tcPr>
          <w:p w:rsidR="00A40FC3" w:rsidRDefault="00A40FC3" w:rsidP="00981981">
            <w:pPr>
              <w:jc w:val="both"/>
            </w:pPr>
          </w:p>
        </w:tc>
        <w:tc>
          <w:tcPr>
            <w:tcW w:w="2885" w:type="dxa"/>
            <w:tcBorders>
              <w:top w:val="single" w:sz="4" w:space="0" w:color="0070C0"/>
              <w:bottom w:val="single" w:sz="4" w:space="0" w:color="0070C0"/>
            </w:tcBorders>
          </w:tcPr>
          <w:p w:rsidR="00A40FC3" w:rsidRDefault="00A40FC3" w:rsidP="00981981">
            <w:pPr>
              <w:jc w:val="both"/>
            </w:pPr>
          </w:p>
        </w:tc>
      </w:tr>
      <w:tr w:rsidR="00A40FC3" w:rsidTr="00E96CD5">
        <w:tc>
          <w:tcPr>
            <w:tcW w:w="3119" w:type="dxa"/>
            <w:tcBorders>
              <w:top w:val="single" w:sz="4" w:space="0" w:color="0070C0"/>
              <w:bottom w:val="single" w:sz="4" w:space="0" w:color="0070C0"/>
            </w:tcBorders>
          </w:tcPr>
          <w:p w:rsidR="00A40FC3" w:rsidRDefault="00981981" w:rsidP="00981981">
            <w:pPr>
              <w:jc w:val="both"/>
            </w:pPr>
            <w:r>
              <w:t>1111 – Direct Interaction with the Board: The chief audit executive must communicate and interact directly with the board.</w:t>
            </w:r>
          </w:p>
        </w:tc>
        <w:tc>
          <w:tcPr>
            <w:tcW w:w="893" w:type="dxa"/>
            <w:tcBorders>
              <w:top w:val="single" w:sz="4" w:space="0" w:color="0070C0"/>
              <w:bottom w:val="single" w:sz="4" w:space="0" w:color="0070C0"/>
            </w:tcBorders>
          </w:tcPr>
          <w:p w:rsidR="00A40FC3" w:rsidRDefault="00A40FC3" w:rsidP="00981981">
            <w:pPr>
              <w:jc w:val="center"/>
            </w:pPr>
          </w:p>
        </w:tc>
        <w:tc>
          <w:tcPr>
            <w:tcW w:w="2884" w:type="dxa"/>
            <w:tcBorders>
              <w:top w:val="single" w:sz="4" w:space="0" w:color="0070C0"/>
              <w:bottom w:val="single" w:sz="4" w:space="0" w:color="0070C0"/>
            </w:tcBorders>
          </w:tcPr>
          <w:p w:rsidR="00A40FC3" w:rsidRDefault="00A40FC3" w:rsidP="00981981">
            <w:pPr>
              <w:jc w:val="both"/>
            </w:pPr>
          </w:p>
        </w:tc>
        <w:tc>
          <w:tcPr>
            <w:tcW w:w="2885" w:type="dxa"/>
            <w:tcBorders>
              <w:top w:val="single" w:sz="4" w:space="0" w:color="0070C0"/>
              <w:bottom w:val="single" w:sz="4" w:space="0" w:color="0070C0"/>
            </w:tcBorders>
          </w:tcPr>
          <w:p w:rsidR="00A40FC3" w:rsidRDefault="00A40FC3" w:rsidP="00981981">
            <w:pPr>
              <w:jc w:val="both"/>
            </w:pPr>
          </w:p>
        </w:tc>
      </w:tr>
      <w:tr w:rsidR="00E96CD5" w:rsidTr="00E96CD5">
        <w:tc>
          <w:tcPr>
            <w:tcW w:w="3119" w:type="dxa"/>
            <w:tcBorders>
              <w:top w:val="single" w:sz="4" w:space="0" w:color="0070C0"/>
              <w:bottom w:val="single" w:sz="4" w:space="0" w:color="0070C0"/>
            </w:tcBorders>
          </w:tcPr>
          <w:p w:rsidR="00E96CD5" w:rsidRDefault="00981981" w:rsidP="00981981">
            <w:pPr>
              <w:jc w:val="both"/>
            </w:pPr>
            <w:r>
              <w:t>1120 – Individual Objectivity: Internal auditors must have an impartial, unbiased attitude and avoid any conflict of interest.</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981981" w:rsidP="00981981">
            <w:pPr>
              <w:jc w:val="both"/>
            </w:pPr>
            <w:r>
              <w:t>1130 – Impairment to Independence or Objectivity: If independence or objectivity is impaired in fact or appearance, the details of the impairment must be disclosed to appropriate parties.</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E73073" w:rsidP="00981981">
            <w:pPr>
              <w:jc w:val="both"/>
            </w:pPr>
            <w:r w:rsidRPr="00E73073">
              <w:t>1130</w:t>
            </w:r>
            <w:proofErr w:type="gramStart"/>
            <w:r w:rsidRPr="00E73073">
              <w:t>.A1</w:t>
            </w:r>
            <w:proofErr w:type="gramEnd"/>
            <w:r w:rsidRPr="00E73073">
              <w:t xml:space="preserve"> – Internal auditors must refrain from assessing specific operations for which they were previously responsible.</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E73073" w:rsidP="00981981">
            <w:pPr>
              <w:jc w:val="both"/>
            </w:pPr>
            <w:r w:rsidRPr="00E73073">
              <w:t>1130</w:t>
            </w:r>
            <w:proofErr w:type="gramStart"/>
            <w:r w:rsidRPr="00E73073">
              <w:t>.A2</w:t>
            </w:r>
            <w:proofErr w:type="gramEnd"/>
            <w:r w:rsidRPr="00E73073">
              <w:t xml:space="preserve"> – Assurance engagements for functions over which the chief audit executive has responsibility must be overseen by a party outside the internal audit activity.</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E73073" w:rsidP="00981981">
            <w:pPr>
              <w:jc w:val="both"/>
            </w:pPr>
            <w:r w:rsidRPr="00E73073">
              <w:t>1130</w:t>
            </w:r>
            <w:proofErr w:type="gramStart"/>
            <w:r w:rsidRPr="00E73073">
              <w:t>.C1</w:t>
            </w:r>
            <w:proofErr w:type="gramEnd"/>
            <w:r w:rsidRPr="00E73073">
              <w:t xml:space="preserve"> – Internal auditors may provide consulting services relating to operations for which they had previous responsibilities.</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57D64">
        <w:tc>
          <w:tcPr>
            <w:tcW w:w="3119" w:type="dxa"/>
            <w:tcBorders>
              <w:top w:val="single" w:sz="4" w:space="0" w:color="0070C0"/>
              <w:bottom w:val="single" w:sz="4" w:space="0" w:color="0070C0"/>
            </w:tcBorders>
          </w:tcPr>
          <w:p w:rsidR="00E96CD5" w:rsidRDefault="00E73073" w:rsidP="00981981">
            <w:pPr>
              <w:jc w:val="both"/>
            </w:pPr>
            <w:r w:rsidRPr="00E73073">
              <w:t>1130</w:t>
            </w:r>
            <w:proofErr w:type="gramStart"/>
            <w:r w:rsidRPr="00E73073">
              <w:t>.C2</w:t>
            </w:r>
            <w:proofErr w:type="gramEnd"/>
            <w:r w:rsidRPr="00E73073">
              <w:t xml:space="preserve"> – If internal auditors have potential impairments to independence or objectivity relating to proposed consulting services, disclosure must be made to the engagement client prior to accepting the engagement.</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57D64" w:rsidTr="00E57D64">
        <w:tc>
          <w:tcPr>
            <w:tcW w:w="9781" w:type="dxa"/>
            <w:gridSpan w:val="4"/>
            <w:tcBorders>
              <w:top w:val="single" w:sz="4" w:space="0" w:color="0070C0"/>
              <w:bottom w:val="single" w:sz="4" w:space="0" w:color="0070C0"/>
            </w:tcBorders>
            <w:shd w:val="clear" w:color="auto" w:fill="C6D9F1" w:themeFill="text2" w:themeFillTint="33"/>
          </w:tcPr>
          <w:p w:rsidR="00E57D64" w:rsidRDefault="00E57D64" w:rsidP="00981981">
            <w:pPr>
              <w:jc w:val="both"/>
            </w:pPr>
            <w:r w:rsidRPr="00E57D64">
              <w:t>1200 – Proficiency and Due Professional Care</w:t>
            </w:r>
          </w:p>
        </w:tc>
      </w:tr>
      <w:tr w:rsidR="00E96CD5" w:rsidTr="00E96CD5">
        <w:tc>
          <w:tcPr>
            <w:tcW w:w="3119" w:type="dxa"/>
            <w:tcBorders>
              <w:top w:val="single" w:sz="4" w:space="0" w:color="0070C0"/>
              <w:bottom w:val="single" w:sz="4" w:space="0" w:color="0070C0"/>
            </w:tcBorders>
          </w:tcPr>
          <w:p w:rsidR="00E96CD5" w:rsidRDefault="00F67DB9" w:rsidP="009D7CDC">
            <w:pPr>
              <w:jc w:val="both"/>
            </w:pPr>
            <w:r>
              <w:lastRenderedPageBreak/>
              <w:t>1210 – Proficiency: Internal auditors must possess the knowledge, skills, and other competencies needed to perform their individual responsibilities.</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F67DB9" w:rsidP="00981981">
            <w:pPr>
              <w:jc w:val="both"/>
            </w:pPr>
            <w:r>
              <w:t xml:space="preserve">1210 – </w:t>
            </w:r>
            <w:r w:rsidRPr="00F67DB9">
              <w:t>The internal audit activity collectively must possess or obtain the knowledge, skills, and other competencies needed to perform its responsibilities.</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1A39FB" w:rsidP="001A39FB">
            <w:pPr>
              <w:jc w:val="both"/>
            </w:pPr>
            <w:r>
              <w:t xml:space="preserve">1220 – Due Professional Care: </w:t>
            </w:r>
            <w:r w:rsidR="000C7A6F">
              <w:t>Internal auditors must apply the care and skill expected of a reasonably prudent and competent internal auditor. Due professional care does not imply infallibility.</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AE3462">
        <w:tc>
          <w:tcPr>
            <w:tcW w:w="3119" w:type="dxa"/>
            <w:tcBorders>
              <w:top w:val="single" w:sz="4" w:space="0" w:color="0070C0"/>
              <w:bottom w:val="single" w:sz="4" w:space="0" w:color="0070C0"/>
            </w:tcBorders>
          </w:tcPr>
          <w:p w:rsidR="00E96CD5" w:rsidRDefault="00AE3462" w:rsidP="00AE3462">
            <w:pPr>
              <w:jc w:val="both"/>
            </w:pPr>
            <w:r>
              <w:t>1230 – Continuing Professional Development: Internal auditors must enhance their knowledge, skills, and other competencies through continuing professional development.</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AE3462" w:rsidTr="00AE3462">
        <w:tc>
          <w:tcPr>
            <w:tcW w:w="9781" w:type="dxa"/>
            <w:gridSpan w:val="4"/>
            <w:tcBorders>
              <w:top w:val="single" w:sz="4" w:space="0" w:color="0070C0"/>
              <w:bottom w:val="single" w:sz="4" w:space="0" w:color="0070C0"/>
            </w:tcBorders>
            <w:shd w:val="clear" w:color="auto" w:fill="C6D9F1" w:themeFill="text2" w:themeFillTint="33"/>
          </w:tcPr>
          <w:p w:rsidR="00AE3462" w:rsidRDefault="00AE3462" w:rsidP="00981981">
            <w:pPr>
              <w:jc w:val="both"/>
            </w:pPr>
            <w:r w:rsidRPr="00AE3462">
              <w:t>1300 – Quality Assurance and Improvement Program</w:t>
            </w:r>
          </w:p>
        </w:tc>
      </w:tr>
      <w:tr w:rsidR="00E96CD5" w:rsidTr="00E96CD5">
        <w:tc>
          <w:tcPr>
            <w:tcW w:w="3119" w:type="dxa"/>
            <w:tcBorders>
              <w:top w:val="single" w:sz="4" w:space="0" w:color="0070C0"/>
              <w:bottom w:val="single" w:sz="4" w:space="0" w:color="0070C0"/>
            </w:tcBorders>
          </w:tcPr>
          <w:p w:rsidR="00E96CD5" w:rsidRDefault="00AE3462" w:rsidP="00981981">
            <w:pPr>
              <w:jc w:val="both"/>
            </w:pPr>
            <w:r>
              <w:t xml:space="preserve">1300 – </w:t>
            </w:r>
            <w:r w:rsidRPr="00AE3462">
              <w:t>The chief audit executive must develop and maintain a quality assurance and improvement program that covers all aspects of the internal audit activity.</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A57BDF" w:rsidP="00A57BDF">
            <w:pPr>
              <w:jc w:val="both"/>
            </w:pPr>
            <w:r>
              <w:t>1310 – Requirements of the Quality Assurance and Improvement Program: The quality assurance and improvement program must include both internal and external assessments.</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F24502" w:rsidP="00F24502">
            <w:pPr>
              <w:jc w:val="both"/>
            </w:pPr>
            <w:r>
              <w:t>1311 – Internal Assessments: On-going monitoring of the performance of the internal audit activity;</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F24502" w:rsidP="00981981">
            <w:pPr>
              <w:jc w:val="both"/>
            </w:pPr>
            <w:r>
              <w:t xml:space="preserve">1311 – Internal Assessment: </w:t>
            </w:r>
            <w:r w:rsidRPr="00F24502">
              <w:t>Periodic self-assessments or assessments by other persons within the organization with sufficient knowledge of internal audit practices.</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2C2EB7" w:rsidP="002C2EB7">
            <w:pPr>
              <w:jc w:val="both"/>
            </w:pPr>
            <w:r>
              <w:t xml:space="preserve">1312 - External Assessments: External assessments must be </w:t>
            </w:r>
            <w:r>
              <w:lastRenderedPageBreak/>
              <w:t>conducted at least once every five years by a qualified, independent assessor or assessment team from outside the organization.</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E96CD5">
        <w:tc>
          <w:tcPr>
            <w:tcW w:w="3119" w:type="dxa"/>
            <w:tcBorders>
              <w:top w:val="single" w:sz="4" w:space="0" w:color="0070C0"/>
              <w:bottom w:val="single" w:sz="4" w:space="0" w:color="0070C0"/>
            </w:tcBorders>
          </w:tcPr>
          <w:p w:rsidR="00E96CD5" w:rsidRDefault="00D548B3" w:rsidP="00D548B3">
            <w:pPr>
              <w:jc w:val="both"/>
            </w:pPr>
            <w:r>
              <w:t>1320 – Reporting on the Quality Assurance and Improvement Program: The chief audit executive must communicate the results of the quality assurance and improvement program to senior management and the board.</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E96CD5" w:rsidTr="00B057A4">
        <w:tc>
          <w:tcPr>
            <w:tcW w:w="3119" w:type="dxa"/>
            <w:tcBorders>
              <w:top w:val="single" w:sz="4" w:space="0" w:color="0070C0"/>
              <w:bottom w:val="single" w:sz="4" w:space="0" w:color="0070C0"/>
            </w:tcBorders>
          </w:tcPr>
          <w:p w:rsidR="00E96CD5" w:rsidRDefault="00D548B3" w:rsidP="00D548B3">
            <w:pPr>
              <w:jc w:val="both"/>
            </w:pPr>
            <w:r>
              <w:t>1321 – Use of “Conforms with the ISPPIA”: The chief audit executive may state that the internal audit activity conforms with the ISPPIA only if the results of the quality assurance and improvement program support this statement.</w:t>
            </w:r>
          </w:p>
        </w:tc>
        <w:tc>
          <w:tcPr>
            <w:tcW w:w="893" w:type="dxa"/>
            <w:tcBorders>
              <w:top w:val="single" w:sz="4" w:space="0" w:color="0070C0"/>
              <w:bottom w:val="single" w:sz="4" w:space="0" w:color="0070C0"/>
            </w:tcBorders>
          </w:tcPr>
          <w:p w:rsidR="00E96CD5" w:rsidRDefault="00E96CD5" w:rsidP="00981981">
            <w:pPr>
              <w:jc w:val="center"/>
            </w:pPr>
          </w:p>
        </w:tc>
        <w:tc>
          <w:tcPr>
            <w:tcW w:w="2884" w:type="dxa"/>
            <w:tcBorders>
              <w:top w:val="single" w:sz="4" w:space="0" w:color="0070C0"/>
              <w:bottom w:val="single" w:sz="4" w:space="0" w:color="0070C0"/>
            </w:tcBorders>
          </w:tcPr>
          <w:p w:rsidR="00E96CD5" w:rsidRDefault="00E96CD5" w:rsidP="00981981">
            <w:pPr>
              <w:jc w:val="both"/>
            </w:pPr>
          </w:p>
        </w:tc>
        <w:tc>
          <w:tcPr>
            <w:tcW w:w="2885" w:type="dxa"/>
            <w:tcBorders>
              <w:top w:val="single" w:sz="4" w:space="0" w:color="0070C0"/>
              <w:bottom w:val="single" w:sz="4" w:space="0" w:color="0070C0"/>
            </w:tcBorders>
          </w:tcPr>
          <w:p w:rsidR="00E96CD5" w:rsidRDefault="00E96CD5" w:rsidP="00981981">
            <w:pPr>
              <w:jc w:val="both"/>
            </w:pPr>
          </w:p>
        </w:tc>
      </w:tr>
      <w:tr w:rsidR="00F24502" w:rsidTr="00B057A4">
        <w:tc>
          <w:tcPr>
            <w:tcW w:w="3119" w:type="dxa"/>
            <w:tcBorders>
              <w:top w:val="single" w:sz="4" w:space="0" w:color="0070C0"/>
              <w:bottom w:val="single" w:sz="4" w:space="0" w:color="auto"/>
            </w:tcBorders>
          </w:tcPr>
          <w:p w:rsidR="00F24502" w:rsidRDefault="00315D59" w:rsidP="00C6324C">
            <w:pPr>
              <w:jc w:val="both"/>
            </w:pPr>
            <w:r>
              <w:t xml:space="preserve">1322 – Disclosure of </w:t>
            </w:r>
            <w:r w:rsidR="00C6324C">
              <w:t xml:space="preserve">Non-conformance: </w:t>
            </w:r>
            <w:r>
              <w:t xml:space="preserve">When </w:t>
            </w:r>
            <w:r w:rsidR="00C6324C">
              <w:t>non-conformance</w:t>
            </w:r>
            <w:r>
              <w:t xml:space="preserve"> with the Definition of Internal Auditing, the Code of Ethics, or the Standards impacts the overall scope or operation of the internal audit activity, the chief audit executive must disclose the non</w:t>
            </w:r>
            <w:r w:rsidR="00C6324C">
              <w:t>-</w:t>
            </w:r>
            <w:r>
              <w:t>conformance and the impact to senior management and the board.</w:t>
            </w:r>
          </w:p>
        </w:tc>
        <w:tc>
          <w:tcPr>
            <w:tcW w:w="893" w:type="dxa"/>
            <w:tcBorders>
              <w:top w:val="single" w:sz="4" w:space="0" w:color="0070C0"/>
              <w:bottom w:val="single" w:sz="4" w:space="0" w:color="auto"/>
            </w:tcBorders>
          </w:tcPr>
          <w:p w:rsidR="00F24502" w:rsidRDefault="00F24502" w:rsidP="00981981">
            <w:pPr>
              <w:jc w:val="center"/>
            </w:pPr>
          </w:p>
        </w:tc>
        <w:tc>
          <w:tcPr>
            <w:tcW w:w="2884" w:type="dxa"/>
            <w:tcBorders>
              <w:top w:val="single" w:sz="4" w:space="0" w:color="0070C0"/>
              <w:bottom w:val="single" w:sz="4" w:space="0" w:color="auto"/>
            </w:tcBorders>
          </w:tcPr>
          <w:p w:rsidR="00F24502" w:rsidRDefault="00F24502" w:rsidP="00981981">
            <w:pPr>
              <w:jc w:val="both"/>
            </w:pPr>
          </w:p>
        </w:tc>
        <w:tc>
          <w:tcPr>
            <w:tcW w:w="2885" w:type="dxa"/>
            <w:tcBorders>
              <w:top w:val="single" w:sz="4" w:space="0" w:color="0070C0"/>
              <w:bottom w:val="single" w:sz="4" w:space="0" w:color="auto"/>
            </w:tcBorders>
          </w:tcPr>
          <w:p w:rsidR="00F24502" w:rsidRDefault="00F24502" w:rsidP="00981981">
            <w:pPr>
              <w:jc w:val="both"/>
            </w:pPr>
          </w:p>
        </w:tc>
      </w:tr>
    </w:tbl>
    <w:p w:rsidR="00D00FBA" w:rsidRDefault="00D00FBA" w:rsidP="007C5C7D">
      <w:pPr>
        <w:jc w:val="both"/>
      </w:pPr>
    </w:p>
    <w:tbl>
      <w:tblPr>
        <w:tblStyle w:val="TableGrid"/>
        <w:tblW w:w="0" w:type="auto"/>
        <w:tblInd w:w="108" w:type="dxa"/>
        <w:tblLook w:val="04A0" w:firstRow="1" w:lastRow="0" w:firstColumn="1" w:lastColumn="0" w:noHBand="0" w:noVBand="1"/>
      </w:tblPr>
      <w:tblGrid>
        <w:gridCol w:w="3072"/>
        <w:gridCol w:w="893"/>
        <w:gridCol w:w="2815"/>
        <w:gridCol w:w="2848"/>
      </w:tblGrid>
      <w:tr w:rsidR="00647B62" w:rsidRPr="00C46F45" w:rsidTr="002941B9">
        <w:tc>
          <w:tcPr>
            <w:tcW w:w="9781" w:type="dxa"/>
            <w:gridSpan w:val="4"/>
            <w:tcBorders>
              <w:bottom w:val="nil"/>
            </w:tcBorders>
            <w:shd w:val="clear" w:color="auto" w:fill="0070C0"/>
          </w:tcPr>
          <w:p w:rsidR="00647B62" w:rsidRPr="00C46F45" w:rsidRDefault="000B5CC6" w:rsidP="002941B9">
            <w:pPr>
              <w:jc w:val="both"/>
              <w:rPr>
                <w:b/>
                <w:bCs/>
                <w:color w:val="FFFFFF" w:themeColor="background1"/>
              </w:rPr>
            </w:pPr>
            <w:r>
              <w:rPr>
                <w:b/>
                <w:bCs/>
                <w:color w:val="FFFFFF" w:themeColor="background1"/>
              </w:rPr>
              <w:t>Performance</w:t>
            </w:r>
            <w:r w:rsidR="00647B62">
              <w:rPr>
                <w:b/>
                <w:bCs/>
                <w:color w:val="FFFFFF" w:themeColor="background1"/>
              </w:rPr>
              <w:t xml:space="preserve"> Standards </w:t>
            </w:r>
          </w:p>
        </w:tc>
      </w:tr>
      <w:tr w:rsidR="00647B62" w:rsidRPr="00C46F45" w:rsidTr="002941B9">
        <w:tc>
          <w:tcPr>
            <w:tcW w:w="3119" w:type="dxa"/>
            <w:tcBorders>
              <w:top w:val="nil"/>
              <w:bottom w:val="single" w:sz="4" w:space="0" w:color="0070C0"/>
              <w:right w:val="single" w:sz="4" w:space="0" w:color="auto"/>
            </w:tcBorders>
            <w:shd w:val="clear" w:color="auto" w:fill="00B0F0"/>
          </w:tcPr>
          <w:p w:rsidR="00647B62" w:rsidRPr="00C46F45" w:rsidRDefault="00647B62" w:rsidP="002941B9">
            <w:pPr>
              <w:jc w:val="both"/>
              <w:rPr>
                <w:b/>
                <w:bCs/>
              </w:rPr>
            </w:pPr>
            <w:r w:rsidRPr="00C46F45">
              <w:rPr>
                <w:b/>
                <w:bCs/>
              </w:rPr>
              <w:t>Practices</w:t>
            </w:r>
            <w:r>
              <w:rPr>
                <w:b/>
                <w:bCs/>
              </w:rPr>
              <w:t xml:space="preserve"> as per the Standard</w:t>
            </w:r>
          </w:p>
        </w:tc>
        <w:tc>
          <w:tcPr>
            <w:tcW w:w="893" w:type="dxa"/>
            <w:tcBorders>
              <w:top w:val="nil"/>
              <w:left w:val="single" w:sz="4" w:space="0" w:color="auto"/>
              <w:bottom w:val="single" w:sz="4" w:space="0" w:color="0070C0"/>
              <w:right w:val="single" w:sz="4" w:space="0" w:color="auto"/>
            </w:tcBorders>
            <w:shd w:val="clear" w:color="auto" w:fill="00B0F0"/>
          </w:tcPr>
          <w:p w:rsidR="00647B62" w:rsidRPr="00C46F45" w:rsidRDefault="00647B62" w:rsidP="002941B9">
            <w:pPr>
              <w:jc w:val="center"/>
              <w:rPr>
                <w:b/>
                <w:bCs/>
              </w:rPr>
            </w:pPr>
            <w:r>
              <w:rPr>
                <w:b/>
                <w:bCs/>
              </w:rPr>
              <w:t>Criteria</w:t>
            </w:r>
          </w:p>
        </w:tc>
        <w:tc>
          <w:tcPr>
            <w:tcW w:w="2884" w:type="dxa"/>
            <w:tcBorders>
              <w:top w:val="nil"/>
              <w:left w:val="single" w:sz="4" w:space="0" w:color="auto"/>
              <w:bottom w:val="single" w:sz="4" w:space="0" w:color="0070C0"/>
              <w:right w:val="single" w:sz="4" w:space="0" w:color="auto"/>
            </w:tcBorders>
            <w:shd w:val="clear" w:color="auto" w:fill="00B0F0"/>
          </w:tcPr>
          <w:p w:rsidR="00647B62" w:rsidRPr="00C46F45" w:rsidRDefault="00647B62" w:rsidP="002941B9">
            <w:pPr>
              <w:jc w:val="both"/>
              <w:rPr>
                <w:b/>
                <w:bCs/>
              </w:rPr>
            </w:pPr>
            <w:r w:rsidRPr="00C46F45">
              <w:rPr>
                <w:b/>
                <w:bCs/>
              </w:rPr>
              <w:t xml:space="preserve">Issues </w:t>
            </w:r>
            <w:r>
              <w:rPr>
                <w:b/>
                <w:bCs/>
              </w:rPr>
              <w:t xml:space="preserve">Identified </w:t>
            </w:r>
          </w:p>
        </w:tc>
        <w:tc>
          <w:tcPr>
            <w:tcW w:w="2885" w:type="dxa"/>
            <w:tcBorders>
              <w:top w:val="nil"/>
              <w:left w:val="single" w:sz="4" w:space="0" w:color="auto"/>
              <w:bottom w:val="single" w:sz="4" w:space="0" w:color="0070C0"/>
            </w:tcBorders>
            <w:shd w:val="clear" w:color="auto" w:fill="00B0F0"/>
          </w:tcPr>
          <w:p w:rsidR="00647B62" w:rsidRPr="00C46F45" w:rsidRDefault="00647B62" w:rsidP="002941B9">
            <w:pPr>
              <w:jc w:val="both"/>
              <w:rPr>
                <w:b/>
                <w:bCs/>
              </w:rPr>
            </w:pPr>
            <w:r w:rsidRPr="00C46F45">
              <w:rPr>
                <w:b/>
                <w:bCs/>
              </w:rPr>
              <w:t xml:space="preserve">Recommendations </w:t>
            </w:r>
          </w:p>
        </w:tc>
      </w:tr>
      <w:tr w:rsidR="00647B62" w:rsidTr="002941B9">
        <w:tc>
          <w:tcPr>
            <w:tcW w:w="9781" w:type="dxa"/>
            <w:gridSpan w:val="4"/>
            <w:tcBorders>
              <w:top w:val="single" w:sz="4" w:space="0" w:color="0070C0"/>
              <w:bottom w:val="single" w:sz="4" w:space="0" w:color="0070C0"/>
            </w:tcBorders>
            <w:shd w:val="clear" w:color="auto" w:fill="C6D9F1" w:themeFill="text2" w:themeFillTint="33"/>
          </w:tcPr>
          <w:p w:rsidR="00647B62" w:rsidRDefault="00025469" w:rsidP="002941B9">
            <w:pPr>
              <w:jc w:val="both"/>
            </w:pPr>
            <w:r w:rsidRPr="00025469">
              <w:t>2000 – Managing the Internal Audit Activity</w:t>
            </w:r>
          </w:p>
        </w:tc>
      </w:tr>
      <w:tr w:rsidR="00647B62" w:rsidTr="002941B9">
        <w:tc>
          <w:tcPr>
            <w:tcW w:w="3119" w:type="dxa"/>
            <w:tcBorders>
              <w:top w:val="single" w:sz="4" w:space="0" w:color="0070C0"/>
              <w:bottom w:val="single" w:sz="4" w:space="0" w:color="0070C0"/>
            </w:tcBorders>
          </w:tcPr>
          <w:p w:rsidR="00647B62" w:rsidRDefault="00E14628" w:rsidP="002941B9">
            <w:pPr>
              <w:jc w:val="both"/>
            </w:pPr>
            <w:r w:rsidRPr="00E14628">
              <w:t xml:space="preserve">2000 – </w:t>
            </w:r>
            <w:r w:rsidR="00A6199C" w:rsidRPr="00A6199C">
              <w:t>The chief audit executive must effectively manage the internal audit activity to ensure it adds value to the organization.</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C815C6" w:rsidTr="002941B9">
        <w:tc>
          <w:tcPr>
            <w:tcW w:w="3119" w:type="dxa"/>
            <w:tcBorders>
              <w:top w:val="single" w:sz="4" w:space="0" w:color="0070C0"/>
              <w:bottom w:val="single" w:sz="4" w:space="0" w:color="0070C0"/>
            </w:tcBorders>
          </w:tcPr>
          <w:p w:rsidR="00C815C6" w:rsidRPr="00E14628" w:rsidRDefault="00C815C6" w:rsidP="00C815C6">
            <w:pPr>
              <w:jc w:val="both"/>
            </w:pPr>
            <w:r>
              <w:t>2010 – Planning: The chief audit executive must establish a risk-based plan to determine the priorities of the internal audit activity, consistent with the organization’s goals.</w:t>
            </w:r>
          </w:p>
        </w:tc>
        <w:tc>
          <w:tcPr>
            <w:tcW w:w="893" w:type="dxa"/>
            <w:tcBorders>
              <w:top w:val="single" w:sz="4" w:space="0" w:color="0070C0"/>
              <w:bottom w:val="single" w:sz="4" w:space="0" w:color="0070C0"/>
            </w:tcBorders>
          </w:tcPr>
          <w:p w:rsidR="00C815C6" w:rsidRDefault="00C815C6" w:rsidP="002941B9">
            <w:pPr>
              <w:jc w:val="center"/>
            </w:pPr>
          </w:p>
        </w:tc>
        <w:tc>
          <w:tcPr>
            <w:tcW w:w="2884" w:type="dxa"/>
            <w:tcBorders>
              <w:top w:val="single" w:sz="4" w:space="0" w:color="0070C0"/>
              <w:bottom w:val="single" w:sz="4" w:space="0" w:color="0070C0"/>
            </w:tcBorders>
          </w:tcPr>
          <w:p w:rsidR="00C815C6" w:rsidRDefault="00C815C6" w:rsidP="002941B9">
            <w:pPr>
              <w:jc w:val="both"/>
            </w:pPr>
          </w:p>
        </w:tc>
        <w:tc>
          <w:tcPr>
            <w:tcW w:w="2885" w:type="dxa"/>
            <w:tcBorders>
              <w:top w:val="single" w:sz="4" w:space="0" w:color="0070C0"/>
              <w:bottom w:val="single" w:sz="4" w:space="0" w:color="0070C0"/>
            </w:tcBorders>
          </w:tcPr>
          <w:p w:rsidR="00C815C6" w:rsidRDefault="00C815C6" w:rsidP="002941B9">
            <w:pPr>
              <w:jc w:val="both"/>
            </w:pPr>
          </w:p>
        </w:tc>
      </w:tr>
      <w:tr w:rsidR="00C815C6" w:rsidTr="002941B9">
        <w:tc>
          <w:tcPr>
            <w:tcW w:w="3119" w:type="dxa"/>
            <w:tcBorders>
              <w:top w:val="single" w:sz="4" w:space="0" w:color="0070C0"/>
              <w:bottom w:val="single" w:sz="4" w:space="0" w:color="0070C0"/>
            </w:tcBorders>
          </w:tcPr>
          <w:p w:rsidR="00C815C6" w:rsidRPr="00E14628" w:rsidRDefault="00DC6A23" w:rsidP="00DC6A23">
            <w:pPr>
              <w:jc w:val="both"/>
            </w:pPr>
            <w:r>
              <w:t xml:space="preserve">2020 – Communication and Approval: The chief audit </w:t>
            </w:r>
            <w:r>
              <w:lastRenderedPageBreak/>
              <w:t>executive must communicate the internal audit activity’s plans and resource requirements, including significant interim changes, to senior management and the board for review and approval. The chief audit executive must also communicate the impact of resource limitations.</w:t>
            </w:r>
          </w:p>
        </w:tc>
        <w:tc>
          <w:tcPr>
            <w:tcW w:w="893" w:type="dxa"/>
            <w:tcBorders>
              <w:top w:val="single" w:sz="4" w:space="0" w:color="0070C0"/>
              <w:bottom w:val="single" w:sz="4" w:space="0" w:color="0070C0"/>
            </w:tcBorders>
          </w:tcPr>
          <w:p w:rsidR="00C815C6" w:rsidRDefault="00C815C6" w:rsidP="002941B9">
            <w:pPr>
              <w:jc w:val="center"/>
            </w:pPr>
          </w:p>
        </w:tc>
        <w:tc>
          <w:tcPr>
            <w:tcW w:w="2884" w:type="dxa"/>
            <w:tcBorders>
              <w:top w:val="single" w:sz="4" w:space="0" w:color="0070C0"/>
              <w:bottom w:val="single" w:sz="4" w:space="0" w:color="0070C0"/>
            </w:tcBorders>
          </w:tcPr>
          <w:p w:rsidR="00C815C6" w:rsidRDefault="00C815C6" w:rsidP="002941B9">
            <w:pPr>
              <w:jc w:val="both"/>
            </w:pPr>
          </w:p>
        </w:tc>
        <w:tc>
          <w:tcPr>
            <w:tcW w:w="2885" w:type="dxa"/>
            <w:tcBorders>
              <w:top w:val="single" w:sz="4" w:space="0" w:color="0070C0"/>
              <w:bottom w:val="single" w:sz="4" w:space="0" w:color="0070C0"/>
            </w:tcBorders>
          </w:tcPr>
          <w:p w:rsidR="00C815C6" w:rsidRDefault="00C815C6" w:rsidP="002941B9">
            <w:pPr>
              <w:jc w:val="both"/>
            </w:pPr>
          </w:p>
        </w:tc>
      </w:tr>
      <w:tr w:rsidR="00C815C6" w:rsidTr="002941B9">
        <w:tc>
          <w:tcPr>
            <w:tcW w:w="3119" w:type="dxa"/>
            <w:tcBorders>
              <w:top w:val="single" w:sz="4" w:space="0" w:color="0070C0"/>
              <w:bottom w:val="single" w:sz="4" w:space="0" w:color="0070C0"/>
            </w:tcBorders>
          </w:tcPr>
          <w:p w:rsidR="00C815C6" w:rsidRPr="00E14628" w:rsidRDefault="00500B74" w:rsidP="00500B74">
            <w:pPr>
              <w:jc w:val="both"/>
            </w:pPr>
            <w:r>
              <w:t>2030 – Resource Management: The chief audit executive must ensure that internal audit resources are appropriate, sufficient, and effectively deployed to achieve the approved plan.</w:t>
            </w:r>
          </w:p>
        </w:tc>
        <w:tc>
          <w:tcPr>
            <w:tcW w:w="893" w:type="dxa"/>
            <w:tcBorders>
              <w:top w:val="single" w:sz="4" w:space="0" w:color="0070C0"/>
              <w:bottom w:val="single" w:sz="4" w:space="0" w:color="0070C0"/>
            </w:tcBorders>
          </w:tcPr>
          <w:p w:rsidR="00C815C6" w:rsidRDefault="00C815C6" w:rsidP="002941B9">
            <w:pPr>
              <w:jc w:val="center"/>
            </w:pPr>
          </w:p>
        </w:tc>
        <w:tc>
          <w:tcPr>
            <w:tcW w:w="2884" w:type="dxa"/>
            <w:tcBorders>
              <w:top w:val="single" w:sz="4" w:space="0" w:color="0070C0"/>
              <w:bottom w:val="single" w:sz="4" w:space="0" w:color="0070C0"/>
            </w:tcBorders>
          </w:tcPr>
          <w:p w:rsidR="00C815C6" w:rsidRDefault="00C815C6" w:rsidP="002941B9">
            <w:pPr>
              <w:jc w:val="both"/>
            </w:pPr>
          </w:p>
        </w:tc>
        <w:tc>
          <w:tcPr>
            <w:tcW w:w="2885" w:type="dxa"/>
            <w:tcBorders>
              <w:top w:val="single" w:sz="4" w:space="0" w:color="0070C0"/>
              <w:bottom w:val="single" w:sz="4" w:space="0" w:color="0070C0"/>
            </w:tcBorders>
          </w:tcPr>
          <w:p w:rsidR="00C815C6" w:rsidRDefault="00C815C6" w:rsidP="002941B9">
            <w:pPr>
              <w:jc w:val="both"/>
            </w:pPr>
          </w:p>
        </w:tc>
      </w:tr>
      <w:tr w:rsidR="00DC6A23" w:rsidTr="002941B9">
        <w:tc>
          <w:tcPr>
            <w:tcW w:w="3119" w:type="dxa"/>
            <w:tcBorders>
              <w:top w:val="single" w:sz="4" w:space="0" w:color="0070C0"/>
              <w:bottom w:val="single" w:sz="4" w:space="0" w:color="0070C0"/>
            </w:tcBorders>
          </w:tcPr>
          <w:p w:rsidR="00DC6A23" w:rsidRPr="00E14628" w:rsidRDefault="004A76B3" w:rsidP="004A76B3">
            <w:pPr>
              <w:jc w:val="both"/>
            </w:pPr>
            <w:r>
              <w:t>2040 – Policies and Procedures: The chief audit executive must establish policies and procedures to guide the internal audit activity.</w:t>
            </w:r>
          </w:p>
        </w:tc>
        <w:tc>
          <w:tcPr>
            <w:tcW w:w="893" w:type="dxa"/>
            <w:tcBorders>
              <w:top w:val="single" w:sz="4" w:space="0" w:color="0070C0"/>
              <w:bottom w:val="single" w:sz="4" w:space="0" w:color="0070C0"/>
            </w:tcBorders>
          </w:tcPr>
          <w:p w:rsidR="00DC6A23" w:rsidRDefault="00DC6A23" w:rsidP="002941B9">
            <w:pPr>
              <w:jc w:val="center"/>
            </w:pPr>
          </w:p>
        </w:tc>
        <w:tc>
          <w:tcPr>
            <w:tcW w:w="2884" w:type="dxa"/>
            <w:tcBorders>
              <w:top w:val="single" w:sz="4" w:space="0" w:color="0070C0"/>
              <w:bottom w:val="single" w:sz="4" w:space="0" w:color="0070C0"/>
            </w:tcBorders>
          </w:tcPr>
          <w:p w:rsidR="00DC6A23" w:rsidRDefault="00DC6A23" w:rsidP="002941B9">
            <w:pPr>
              <w:jc w:val="both"/>
            </w:pPr>
          </w:p>
        </w:tc>
        <w:tc>
          <w:tcPr>
            <w:tcW w:w="2885" w:type="dxa"/>
            <w:tcBorders>
              <w:top w:val="single" w:sz="4" w:space="0" w:color="0070C0"/>
              <w:bottom w:val="single" w:sz="4" w:space="0" w:color="0070C0"/>
            </w:tcBorders>
          </w:tcPr>
          <w:p w:rsidR="00DC6A23" w:rsidRDefault="00DC6A23" w:rsidP="002941B9">
            <w:pPr>
              <w:jc w:val="both"/>
            </w:pPr>
          </w:p>
        </w:tc>
      </w:tr>
      <w:tr w:rsidR="00DC6A23" w:rsidTr="002941B9">
        <w:tc>
          <w:tcPr>
            <w:tcW w:w="3119" w:type="dxa"/>
            <w:tcBorders>
              <w:top w:val="single" w:sz="4" w:space="0" w:color="0070C0"/>
              <w:bottom w:val="single" w:sz="4" w:space="0" w:color="0070C0"/>
            </w:tcBorders>
          </w:tcPr>
          <w:p w:rsidR="004A76B3" w:rsidRDefault="004A76B3" w:rsidP="004A76B3">
            <w:pPr>
              <w:jc w:val="both"/>
            </w:pPr>
            <w:r>
              <w:t>2050 – Coordination</w:t>
            </w:r>
          </w:p>
          <w:p w:rsidR="00DC6A23" w:rsidRPr="00E14628" w:rsidRDefault="004A76B3" w:rsidP="004A76B3">
            <w:pPr>
              <w:jc w:val="both"/>
            </w:pPr>
            <w:r>
              <w:t>The chief audit executive should share information and coordinate activities with other internal and external providers of assurance and consulting services to ensure proper coverage and minimize duplication of efforts.</w:t>
            </w:r>
          </w:p>
        </w:tc>
        <w:tc>
          <w:tcPr>
            <w:tcW w:w="893" w:type="dxa"/>
            <w:tcBorders>
              <w:top w:val="single" w:sz="4" w:space="0" w:color="0070C0"/>
              <w:bottom w:val="single" w:sz="4" w:space="0" w:color="0070C0"/>
            </w:tcBorders>
          </w:tcPr>
          <w:p w:rsidR="00DC6A23" w:rsidRDefault="00DC6A23" w:rsidP="002941B9">
            <w:pPr>
              <w:jc w:val="center"/>
            </w:pPr>
          </w:p>
        </w:tc>
        <w:tc>
          <w:tcPr>
            <w:tcW w:w="2884" w:type="dxa"/>
            <w:tcBorders>
              <w:top w:val="single" w:sz="4" w:space="0" w:color="0070C0"/>
              <w:bottom w:val="single" w:sz="4" w:space="0" w:color="0070C0"/>
            </w:tcBorders>
          </w:tcPr>
          <w:p w:rsidR="00DC6A23" w:rsidRDefault="00DC6A23" w:rsidP="002941B9">
            <w:pPr>
              <w:jc w:val="both"/>
            </w:pPr>
          </w:p>
        </w:tc>
        <w:tc>
          <w:tcPr>
            <w:tcW w:w="2885" w:type="dxa"/>
            <w:tcBorders>
              <w:top w:val="single" w:sz="4" w:space="0" w:color="0070C0"/>
              <w:bottom w:val="single" w:sz="4" w:space="0" w:color="0070C0"/>
            </w:tcBorders>
          </w:tcPr>
          <w:p w:rsidR="00DC6A23" w:rsidRDefault="00DC6A23" w:rsidP="002941B9">
            <w:pPr>
              <w:jc w:val="both"/>
            </w:pPr>
          </w:p>
        </w:tc>
      </w:tr>
      <w:tr w:rsidR="00DC6A23" w:rsidTr="002941B9">
        <w:tc>
          <w:tcPr>
            <w:tcW w:w="3119" w:type="dxa"/>
            <w:tcBorders>
              <w:top w:val="single" w:sz="4" w:space="0" w:color="0070C0"/>
              <w:bottom w:val="single" w:sz="4" w:space="0" w:color="0070C0"/>
            </w:tcBorders>
          </w:tcPr>
          <w:p w:rsidR="00DC6A23" w:rsidRPr="00E14628" w:rsidRDefault="004A76B3" w:rsidP="004A76B3">
            <w:pPr>
              <w:jc w:val="both"/>
            </w:pPr>
            <w:r>
              <w:t>2060 – Reporting to Senior Management and the Board: The chief audit executive must report periodically to senior management and the board on the internal audit activity’s purpose, authority, responsibility, and performance relative to its plan.</w:t>
            </w:r>
          </w:p>
        </w:tc>
        <w:tc>
          <w:tcPr>
            <w:tcW w:w="893" w:type="dxa"/>
            <w:tcBorders>
              <w:top w:val="single" w:sz="4" w:space="0" w:color="0070C0"/>
              <w:bottom w:val="single" w:sz="4" w:space="0" w:color="0070C0"/>
            </w:tcBorders>
          </w:tcPr>
          <w:p w:rsidR="00DC6A23" w:rsidRDefault="00DC6A23" w:rsidP="002941B9">
            <w:pPr>
              <w:jc w:val="center"/>
            </w:pPr>
          </w:p>
        </w:tc>
        <w:tc>
          <w:tcPr>
            <w:tcW w:w="2884" w:type="dxa"/>
            <w:tcBorders>
              <w:top w:val="single" w:sz="4" w:space="0" w:color="0070C0"/>
              <w:bottom w:val="single" w:sz="4" w:space="0" w:color="0070C0"/>
            </w:tcBorders>
          </w:tcPr>
          <w:p w:rsidR="00DC6A23" w:rsidRDefault="00DC6A23" w:rsidP="002941B9">
            <w:pPr>
              <w:jc w:val="both"/>
            </w:pPr>
          </w:p>
        </w:tc>
        <w:tc>
          <w:tcPr>
            <w:tcW w:w="2885" w:type="dxa"/>
            <w:tcBorders>
              <w:top w:val="single" w:sz="4" w:space="0" w:color="0070C0"/>
              <w:bottom w:val="single" w:sz="4" w:space="0" w:color="0070C0"/>
            </w:tcBorders>
          </w:tcPr>
          <w:p w:rsidR="00DC6A23" w:rsidRDefault="00DC6A23" w:rsidP="002941B9">
            <w:pPr>
              <w:jc w:val="both"/>
            </w:pPr>
          </w:p>
        </w:tc>
      </w:tr>
      <w:tr w:rsidR="00647B62" w:rsidTr="002941B9">
        <w:tc>
          <w:tcPr>
            <w:tcW w:w="9781" w:type="dxa"/>
            <w:gridSpan w:val="4"/>
            <w:tcBorders>
              <w:top w:val="single" w:sz="4" w:space="0" w:color="0070C0"/>
              <w:bottom w:val="single" w:sz="4" w:space="0" w:color="0070C0"/>
            </w:tcBorders>
            <w:shd w:val="clear" w:color="auto" w:fill="C6D9F1" w:themeFill="text2" w:themeFillTint="33"/>
          </w:tcPr>
          <w:p w:rsidR="00647B62" w:rsidRDefault="000E1762" w:rsidP="002941B9">
            <w:pPr>
              <w:jc w:val="both"/>
            </w:pPr>
            <w:r w:rsidRPr="000E1762">
              <w:t>2100 – Nature of Work</w:t>
            </w:r>
          </w:p>
        </w:tc>
      </w:tr>
      <w:tr w:rsidR="00647B62" w:rsidTr="002941B9">
        <w:tc>
          <w:tcPr>
            <w:tcW w:w="3119" w:type="dxa"/>
            <w:tcBorders>
              <w:top w:val="single" w:sz="4" w:space="0" w:color="0070C0"/>
              <w:bottom w:val="single" w:sz="4" w:space="0" w:color="0070C0"/>
            </w:tcBorders>
          </w:tcPr>
          <w:p w:rsidR="00647B62" w:rsidRDefault="000E1762" w:rsidP="002941B9">
            <w:pPr>
              <w:jc w:val="both"/>
            </w:pPr>
            <w:r w:rsidRPr="000E1762">
              <w:t>2100 – The internal audit activity must evaluate and contribute to the improvement of governance, risk management, and control processes using a systematic and disciplined approach.</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602296" w:rsidP="00602296">
            <w:pPr>
              <w:jc w:val="both"/>
            </w:pPr>
            <w:r>
              <w:t xml:space="preserve">2110 – Governance: The internal audit activity must assess and make appropriate </w:t>
            </w:r>
            <w:r>
              <w:lastRenderedPageBreak/>
              <w:t>recommendations for improving the governance process.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233435" w:rsidP="00233435">
            <w:pPr>
              <w:jc w:val="both"/>
            </w:pPr>
            <w:r>
              <w:t>2120 – Risk Management: The internal audit activity must evaluate the effectiveness and contribute to the improvement of risk management processes.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FB2056">
        <w:tc>
          <w:tcPr>
            <w:tcW w:w="3119" w:type="dxa"/>
            <w:tcBorders>
              <w:top w:val="single" w:sz="4" w:space="0" w:color="0070C0"/>
              <w:bottom w:val="single" w:sz="4" w:space="0" w:color="0070C0"/>
            </w:tcBorders>
          </w:tcPr>
          <w:p w:rsidR="00647B62" w:rsidRDefault="00EC1884" w:rsidP="00EC1884">
            <w:pPr>
              <w:jc w:val="both"/>
            </w:pPr>
            <w:r>
              <w:t>2130 – Control: The internal audit activity must assist the organization in maintaining effective controls by evaluating their effectiveness and efficiency and by promoting continuous improvement.</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bookmarkStart w:id="0" w:name="_GoBack"/>
            <w:bookmarkEnd w:id="0"/>
          </w:p>
        </w:tc>
      </w:tr>
      <w:tr w:rsidR="00FB2056" w:rsidTr="00FB2056">
        <w:tc>
          <w:tcPr>
            <w:tcW w:w="9781" w:type="dxa"/>
            <w:gridSpan w:val="4"/>
            <w:tcBorders>
              <w:top w:val="single" w:sz="4" w:space="0" w:color="0070C0"/>
              <w:bottom w:val="single" w:sz="4" w:space="0" w:color="0070C0"/>
            </w:tcBorders>
            <w:shd w:val="clear" w:color="auto" w:fill="C6D9F1" w:themeFill="text2" w:themeFillTint="33"/>
          </w:tcPr>
          <w:p w:rsidR="00FB2056" w:rsidRDefault="00FB2056" w:rsidP="002941B9">
            <w:pPr>
              <w:jc w:val="both"/>
            </w:pPr>
            <w:r w:rsidRPr="00FB2056">
              <w:t>2200 – Engagement Planning</w:t>
            </w:r>
          </w:p>
        </w:tc>
      </w:tr>
      <w:tr w:rsidR="00647B62" w:rsidTr="002941B9">
        <w:tc>
          <w:tcPr>
            <w:tcW w:w="3119" w:type="dxa"/>
            <w:tcBorders>
              <w:top w:val="single" w:sz="4" w:space="0" w:color="0070C0"/>
              <w:bottom w:val="single" w:sz="4" w:space="0" w:color="0070C0"/>
            </w:tcBorders>
          </w:tcPr>
          <w:p w:rsidR="00647B62" w:rsidRDefault="00FB2056" w:rsidP="002941B9">
            <w:pPr>
              <w:jc w:val="both"/>
            </w:pPr>
            <w:r w:rsidRPr="00FB2056">
              <w:t>2200 – Internal auditors must develop and document a plan for each engagement, including the engagement’s objectives, scope, timing, and resource allocations.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B7407C" w:rsidP="002941B9">
            <w:pPr>
              <w:jc w:val="both"/>
            </w:pPr>
            <w:r w:rsidRPr="00B7407C">
              <w:t>2201 – Planning Considerations</w:t>
            </w:r>
            <w:r>
              <w:t xml:space="preserve">: </w:t>
            </w:r>
            <w:r w:rsidRPr="00B7407C">
              <w:t>The objectives of the activity being reviewed and the means by which the ac</w:t>
            </w:r>
            <w:r w:rsidR="00F559C9">
              <w:t xml:space="preserve">tivity controls its performance. </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F559C9" w:rsidP="002941B9">
            <w:pPr>
              <w:jc w:val="both"/>
            </w:pPr>
            <w:r w:rsidRPr="00B7407C">
              <w:t>2201 – Planning Considerations</w:t>
            </w:r>
            <w:r>
              <w:t xml:space="preserve">: </w:t>
            </w:r>
            <w:r w:rsidRPr="00F559C9">
              <w:t>The significant risks to the activity, its objectives, resources, and operations and the means by which the potential impact of risk is kept to an acceptable level</w:t>
            </w:r>
            <w:r>
              <w:t xml:space="preserve">. </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F559C9" w:rsidP="002941B9">
            <w:pPr>
              <w:jc w:val="both"/>
            </w:pPr>
            <w:r w:rsidRPr="00B7407C">
              <w:t>2201 – Planning Considerations</w:t>
            </w:r>
            <w:r>
              <w:t xml:space="preserve">: </w:t>
            </w:r>
            <w:r w:rsidRPr="00F559C9">
              <w:t>The adequacy and effectiveness of the activity’s governance, risk management, and control processes compared to a relevant framework or model</w:t>
            </w:r>
            <w:r>
              <w:t xml:space="preserve">. </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B7407C" w:rsidTr="002941B9">
        <w:tc>
          <w:tcPr>
            <w:tcW w:w="3119" w:type="dxa"/>
            <w:tcBorders>
              <w:top w:val="single" w:sz="4" w:space="0" w:color="0070C0"/>
              <w:bottom w:val="single" w:sz="4" w:space="0" w:color="0070C0"/>
            </w:tcBorders>
          </w:tcPr>
          <w:p w:rsidR="00B7407C" w:rsidRDefault="00F559C9" w:rsidP="002941B9">
            <w:pPr>
              <w:jc w:val="both"/>
            </w:pPr>
            <w:r w:rsidRPr="00B7407C">
              <w:t>2201 – Planning Considerations</w:t>
            </w:r>
            <w:r>
              <w:t>:</w:t>
            </w:r>
            <w:r w:rsidR="00845001">
              <w:t xml:space="preserve"> </w:t>
            </w:r>
            <w:r w:rsidR="00845001" w:rsidRPr="00845001">
              <w:t>The opportunities for making significant improvements to the activity’s governance, risk management, and control processes.</w:t>
            </w:r>
          </w:p>
        </w:tc>
        <w:tc>
          <w:tcPr>
            <w:tcW w:w="893" w:type="dxa"/>
            <w:tcBorders>
              <w:top w:val="single" w:sz="4" w:space="0" w:color="0070C0"/>
              <w:bottom w:val="single" w:sz="4" w:space="0" w:color="0070C0"/>
            </w:tcBorders>
          </w:tcPr>
          <w:p w:rsidR="00B7407C" w:rsidRDefault="00B7407C" w:rsidP="002941B9">
            <w:pPr>
              <w:jc w:val="center"/>
            </w:pPr>
          </w:p>
        </w:tc>
        <w:tc>
          <w:tcPr>
            <w:tcW w:w="2884" w:type="dxa"/>
            <w:tcBorders>
              <w:top w:val="single" w:sz="4" w:space="0" w:color="0070C0"/>
              <w:bottom w:val="single" w:sz="4" w:space="0" w:color="0070C0"/>
            </w:tcBorders>
          </w:tcPr>
          <w:p w:rsidR="00B7407C" w:rsidRDefault="00B7407C" w:rsidP="002941B9">
            <w:pPr>
              <w:jc w:val="both"/>
            </w:pPr>
          </w:p>
        </w:tc>
        <w:tc>
          <w:tcPr>
            <w:tcW w:w="2885" w:type="dxa"/>
            <w:tcBorders>
              <w:top w:val="single" w:sz="4" w:space="0" w:color="0070C0"/>
              <w:bottom w:val="single" w:sz="4" w:space="0" w:color="0070C0"/>
            </w:tcBorders>
          </w:tcPr>
          <w:p w:rsidR="00B7407C" w:rsidRDefault="00B7407C" w:rsidP="002941B9">
            <w:pPr>
              <w:jc w:val="both"/>
            </w:pPr>
          </w:p>
        </w:tc>
      </w:tr>
      <w:tr w:rsidR="00B7407C" w:rsidTr="002941B9">
        <w:tc>
          <w:tcPr>
            <w:tcW w:w="3119" w:type="dxa"/>
            <w:tcBorders>
              <w:top w:val="single" w:sz="4" w:space="0" w:color="0070C0"/>
              <w:bottom w:val="single" w:sz="4" w:space="0" w:color="0070C0"/>
            </w:tcBorders>
          </w:tcPr>
          <w:p w:rsidR="00B7407C" w:rsidRDefault="00B13F4F" w:rsidP="00B13F4F">
            <w:pPr>
              <w:jc w:val="both"/>
            </w:pPr>
            <w:r>
              <w:t>2210 – Engagement Objectives: Objectives must be established for each engagement.</w:t>
            </w:r>
          </w:p>
        </w:tc>
        <w:tc>
          <w:tcPr>
            <w:tcW w:w="893" w:type="dxa"/>
            <w:tcBorders>
              <w:top w:val="single" w:sz="4" w:space="0" w:color="0070C0"/>
              <w:bottom w:val="single" w:sz="4" w:space="0" w:color="0070C0"/>
            </w:tcBorders>
          </w:tcPr>
          <w:p w:rsidR="00B7407C" w:rsidRDefault="00B7407C" w:rsidP="002941B9">
            <w:pPr>
              <w:jc w:val="center"/>
            </w:pPr>
          </w:p>
        </w:tc>
        <w:tc>
          <w:tcPr>
            <w:tcW w:w="2884" w:type="dxa"/>
            <w:tcBorders>
              <w:top w:val="single" w:sz="4" w:space="0" w:color="0070C0"/>
              <w:bottom w:val="single" w:sz="4" w:space="0" w:color="0070C0"/>
            </w:tcBorders>
          </w:tcPr>
          <w:p w:rsidR="00B7407C" w:rsidRDefault="00B7407C" w:rsidP="002941B9">
            <w:pPr>
              <w:jc w:val="both"/>
            </w:pPr>
          </w:p>
        </w:tc>
        <w:tc>
          <w:tcPr>
            <w:tcW w:w="2885" w:type="dxa"/>
            <w:tcBorders>
              <w:top w:val="single" w:sz="4" w:space="0" w:color="0070C0"/>
              <w:bottom w:val="single" w:sz="4" w:space="0" w:color="0070C0"/>
            </w:tcBorders>
          </w:tcPr>
          <w:p w:rsidR="00B7407C" w:rsidRDefault="00B7407C" w:rsidP="002941B9">
            <w:pPr>
              <w:jc w:val="both"/>
            </w:pPr>
          </w:p>
        </w:tc>
      </w:tr>
      <w:tr w:rsidR="00B7407C" w:rsidTr="002941B9">
        <w:tc>
          <w:tcPr>
            <w:tcW w:w="3119" w:type="dxa"/>
            <w:tcBorders>
              <w:top w:val="single" w:sz="4" w:space="0" w:color="0070C0"/>
              <w:bottom w:val="single" w:sz="4" w:space="0" w:color="0070C0"/>
            </w:tcBorders>
          </w:tcPr>
          <w:p w:rsidR="00B7407C" w:rsidRDefault="00B13F4F" w:rsidP="00B13F4F">
            <w:pPr>
              <w:jc w:val="both"/>
            </w:pPr>
            <w:r>
              <w:t xml:space="preserve">2220 – Engagement Scope: The established scope must be </w:t>
            </w:r>
            <w:r>
              <w:lastRenderedPageBreak/>
              <w:t>sufficient to achieve the objectives of the engagement.</w:t>
            </w:r>
          </w:p>
        </w:tc>
        <w:tc>
          <w:tcPr>
            <w:tcW w:w="893" w:type="dxa"/>
            <w:tcBorders>
              <w:top w:val="single" w:sz="4" w:space="0" w:color="0070C0"/>
              <w:bottom w:val="single" w:sz="4" w:space="0" w:color="0070C0"/>
            </w:tcBorders>
          </w:tcPr>
          <w:p w:rsidR="00B7407C" w:rsidRDefault="00B7407C" w:rsidP="002941B9">
            <w:pPr>
              <w:jc w:val="center"/>
            </w:pPr>
          </w:p>
        </w:tc>
        <w:tc>
          <w:tcPr>
            <w:tcW w:w="2884" w:type="dxa"/>
            <w:tcBorders>
              <w:top w:val="single" w:sz="4" w:space="0" w:color="0070C0"/>
              <w:bottom w:val="single" w:sz="4" w:space="0" w:color="0070C0"/>
            </w:tcBorders>
          </w:tcPr>
          <w:p w:rsidR="00B7407C" w:rsidRDefault="00B7407C" w:rsidP="002941B9">
            <w:pPr>
              <w:jc w:val="both"/>
            </w:pPr>
          </w:p>
        </w:tc>
        <w:tc>
          <w:tcPr>
            <w:tcW w:w="2885" w:type="dxa"/>
            <w:tcBorders>
              <w:top w:val="single" w:sz="4" w:space="0" w:color="0070C0"/>
              <w:bottom w:val="single" w:sz="4" w:space="0" w:color="0070C0"/>
            </w:tcBorders>
          </w:tcPr>
          <w:p w:rsidR="00B7407C" w:rsidRDefault="00B7407C" w:rsidP="002941B9">
            <w:pPr>
              <w:jc w:val="both"/>
            </w:pPr>
          </w:p>
        </w:tc>
      </w:tr>
      <w:tr w:rsidR="00B7407C" w:rsidTr="002941B9">
        <w:tc>
          <w:tcPr>
            <w:tcW w:w="3119" w:type="dxa"/>
            <w:tcBorders>
              <w:top w:val="single" w:sz="4" w:space="0" w:color="0070C0"/>
              <w:bottom w:val="single" w:sz="4" w:space="0" w:color="0070C0"/>
            </w:tcBorders>
          </w:tcPr>
          <w:p w:rsidR="00B7407C" w:rsidRDefault="00B13F4F" w:rsidP="00B13F4F">
            <w:pPr>
              <w:jc w:val="both"/>
            </w:pPr>
            <w:r>
              <w:t>2230 – Engagement Resource Allocation: Internal auditors must determine appropriate and sufficient resources to achieve engagement objectives based on an evaluation of the nature and complexity of each engagement, time constraints, and available resources.</w:t>
            </w:r>
          </w:p>
        </w:tc>
        <w:tc>
          <w:tcPr>
            <w:tcW w:w="893" w:type="dxa"/>
            <w:tcBorders>
              <w:top w:val="single" w:sz="4" w:space="0" w:color="0070C0"/>
              <w:bottom w:val="single" w:sz="4" w:space="0" w:color="0070C0"/>
            </w:tcBorders>
          </w:tcPr>
          <w:p w:rsidR="00B7407C" w:rsidRDefault="00B7407C" w:rsidP="002941B9">
            <w:pPr>
              <w:jc w:val="center"/>
            </w:pPr>
          </w:p>
        </w:tc>
        <w:tc>
          <w:tcPr>
            <w:tcW w:w="2884" w:type="dxa"/>
            <w:tcBorders>
              <w:top w:val="single" w:sz="4" w:space="0" w:color="0070C0"/>
              <w:bottom w:val="single" w:sz="4" w:space="0" w:color="0070C0"/>
            </w:tcBorders>
          </w:tcPr>
          <w:p w:rsidR="00B7407C" w:rsidRDefault="00B7407C" w:rsidP="002941B9">
            <w:pPr>
              <w:jc w:val="both"/>
            </w:pPr>
          </w:p>
        </w:tc>
        <w:tc>
          <w:tcPr>
            <w:tcW w:w="2885" w:type="dxa"/>
            <w:tcBorders>
              <w:top w:val="single" w:sz="4" w:space="0" w:color="0070C0"/>
              <w:bottom w:val="single" w:sz="4" w:space="0" w:color="0070C0"/>
            </w:tcBorders>
          </w:tcPr>
          <w:p w:rsidR="00B7407C" w:rsidRDefault="00B7407C" w:rsidP="002941B9">
            <w:pPr>
              <w:jc w:val="both"/>
            </w:pPr>
          </w:p>
        </w:tc>
      </w:tr>
      <w:tr w:rsidR="00B7407C" w:rsidTr="002941B9">
        <w:tc>
          <w:tcPr>
            <w:tcW w:w="3119" w:type="dxa"/>
            <w:tcBorders>
              <w:top w:val="single" w:sz="4" w:space="0" w:color="0070C0"/>
              <w:bottom w:val="single" w:sz="4" w:space="0" w:color="0070C0"/>
            </w:tcBorders>
          </w:tcPr>
          <w:p w:rsidR="00B7407C" w:rsidRDefault="00B13F4F" w:rsidP="00B13F4F">
            <w:pPr>
              <w:jc w:val="both"/>
            </w:pPr>
            <w:r>
              <w:t>2240 – Engagement Work Program: Internal auditors must develop and document work programs that achieve the engagement objectives.</w:t>
            </w:r>
          </w:p>
        </w:tc>
        <w:tc>
          <w:tcPr>
            <w:tcW w:w="893" w:type="dxa"/>
            <w:tcBorders>
              <w:top w:val="single" w:sz="4" w:space="0" w:color="0070C0"/>
              <w:bottom w:val="single" w:sz="4" w:space="0" w:color="0070C0"/>
            </w:tcBorders>
          </w:tcPr>
          <w:p w:rsidR="00B7407C" w:rsidRDefault="00B7407C" w:rsidP="002941B9">
            <w:pPr>
              <w:jc w:val="center"/>
            </w:pPr>
          </w:p>
        </w:tc>
        <w:tc>
          <w:tcPr>
            <w:tcW w:w="2884" w:type="dxa"/>
            <w:tcBorders>
              <w:top w:val="single" w:sz="4" w:space="0" w:color="0070C0"/>
              <w:bottom w:val="single" w:sz="4" w:space="0" w:color="0070C0"/>
            </w:tcBorders>
          </w:tcPr>
          <w:p w:rsidR="00B7407C" w:rsidRDefault="00B7407C" w:rsidP="002941B9">
            <w:pPr>
              <w:jc w:val="both"/>
            </w:pPr>
          </w:p>
        </w:tc>
        <w:tc>
          <w:tcPr>
            <w:tcW w:w="2885" w:type="dxa"/>
            <w:tcBorders>
              <w:top w:val="single" w:sz="4" w:space="0" w:color="0070C0"/>
              <w:bottom w:val="single" w:sz="4" w:space="0" w:color="0070C0"/>
            </w:tcBorders>
          </w:tcPr>
          <w:p w:rsidR="00B7407C" w:rsidRDefault="00B7407C" w:rsidP="002941B9">
            <w:pPr>
              <w:jc w:val="both"/>
            </w:pPr>
          </w:p>
        </w:tc>
      </w:tr>
      <w:tr w:rsidR="00647B62" w:rsidTr="002941B9">
        <w:tc>
          <w:tcPr>
            <w:tcW w:w="9781" w:type="dxa"/>
            <w:gridSpan w:val="4"/>
            <w:tcBorders>
              <w:top w:val="single" w:sz="4" w:space="0" w:color="0070C0"/>
              <w:bottom w:val="single" w:sz="4" w:space="0" w:color="0070C0"/>
            </w:tcBorders>
            <w:shd w:val="clear" w:color="auto" w:fill="C6D9F1" w:themeFill="text2" w:themeFillTint="33"/>
          </w:tcPr>
          <w:p w:rsidR="00647B62" w:rsidRDefault="00B13F4F" w:rsidP="002941B9">
            <w:pPr>
              <w:jc w:val="both"/>
            </w:pPr>
            <w:r w:rsidRPr="00B13F4F">
              <w:t>2300 – Performing the Engagement</w:t>
            </w:r>
          </w:p>
        </w:tc>
      </w:tr>
      <w:tr w:rsidR="00647B62" w:rsidTr="002941B9">
        <w:tc>
          <w:tcPr>
            <w:tcW w:w="3119" w:type="dxa"/>
            <w:tcBorders>
              <w:top w:val="single" w:sz="4" w:space="0" w:color="0070C0"/>
              <w:bottom w:val="single" w:sz="4" w:space="0" w:color="0070C0"/>
            </w:tcBorders>
          </w:tcPr>
          <w:p w:rsidR="00647B62" w:rsidRDefault="00B13F4F" w:rsidP="00B13F4F">
            <w:pPr>
              <w:jc w:val="both"/>
            </w:pPr>
            <w:r w:rsidRPr="00B13F4F">
              <w:t>2300 – Internal auditors must identify, analyse, evaluate, and document sufficient information to achieve the engagement’s objectives.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2F6966" w:rsidP="002F6966">
            <w:pPr>
              <w:jc w:val="both"/>
            </w:pPr>
            <w:r>
              <w:t>2310 – Identifying Information: Internal auditors must identify sufficient, reliable, relevant, and useful information to achieve the engagement’s objectives.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041F75" w:rsidP="00041F75">
            <w:pPr>
              <w:jc w:val="both"/>
            </w:pPr>
            <w:r>
              <w:t>2320 – Analysis and Evaluation: Internal auditors must base conclusions and engagement results on appropriate analyses and evaluations.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041F75" w:rsidP="00041F75">
            <w:pPr>
              <w:jc w:val="both"/>
            </w:pPr>
            <w:r>
              <w:t>2330 – Documenting Information: Internal auditors must document relevant information to support the conclusions and engagement results.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041F75" w:rsidTr="002941B9">
        <w:tc>
          <w:tcPr>
            <w:tcW w:w="3119" w:type="dxa"/>
            <w:tcBorders>
              <w:top w:val="single" w:sz="4" w:space="0" w:color="0070C0"/>
              <w:bottom w:val="single" w:sz="4" w:space="0" w:color="0070C0"/>
            </w:tcBorders>
          </w:tcPr>
          <w:p w:rsidR="00041F75" w:rsidRDefault="00041F75" w:rsidP="00041F75">
            <w:pPr>
              <w:jc w:val="both"/>
            </w:pPr>
            <w:r>
              <w:t>2340 – Engagement Supervision: Engagements must be properly supervised to ensure objectives are achieved, quality is assured, and staffs are developed.</w:t>
            </w:r>
          </w:p>
        </w:tc>
        <w:tc>
          <w:tcPr>
            <w:tcW w:w="893" w:type="dxa"/>
            <w:tcBorders>
              <w:top w:val="single" w:sz="4" w:space="0" w:color="0070C0"/>
              <w:bottom w:val="single" w:sz="4" w:space="0" w:color="0070C0"/>
            </w:tcBorders>
          </w:tcPr>
          <w:p w:rsidR="00041F75" w:rsidRDefault="00041F75" w:rsidP="002941B9">
            <w:pPr>
              <w:jc w:val="center"/>
            </w:pPr>
          </w:p>
        </w:tc>
        <w:tc>
          <w:tcPr>
            <w:tcW w:w="2884" w:type="dxa"/>
            <w:tcBorders>
              <w:top w:val="single" w:sz="4" w:space="0" w:color="0070C0"/>
              <w:bottom w:val="single" w:sz="4" w:space="0" w:color="0070C0"/>
            </w:tcBorders>
          </w:tcPr>
          <w:p w:rsidR="00041F75" w:rsidRDefault="00041F75" w:rsidP="002941B9">
            <w:pPr>
              <w:jc w:val="both"/>
            </w:pPr>
          </w:p>
        </w:tc>
        <w:tc>
          <w:tcPr>
            <w:tcW w:w="2885" w:type="dxa"/>
            <w:tcBorders>
              <w:top w:val="single" w:sz="4" w:space="0" w:color="0070C0"/>
              <w:bottom w:val="single" w:sz="4" w:space="0" w:color="0070C0"/>
            </w:tcBorders>
          </w:tcPr>
          <w:p w:rsidR="00041F75" w:rsidRDefault="00041F75" w:rsidP="002941B9">
            <w:pPr>
              <w:jc w:val="both"/>
            </w:pPr>
          </w:p>
        </w:tc>
      </w:tr>
      <w:tr w:rsidR="00647B62" w:rsidTr="002941B9">
        <w:tc>
          <w:tcPr>
            <w:tcW w:w="9781" w:type="dxa"/>
            <w:gridSpan w:val="4"/>
            <w:tcBorders>
              <w:top w:val="single" w:sz="4" w:space="0" w:color="0070C0"/>
              <w:bottom w:val="single" w:sz="4" w:space="0" w:color="0070C0"/>
            </w:tcBorders>
            <w:shd w:val="clear" w:color="auto" w:fill="C6D9F1" w:themeFill="text2" w:themeFillTint="33"/>
          </w:tcPr>
          <w:p w:rsidR="00647B62" w:rsidRDefault="002A6443" w:rsidP="002941B9">
            <w:pPr>
              <w:jc w:val="both"/>
            </w:pPr>
            <w:r w:rsidRPr="002A6443">
              <w:t>2400 – Communicating Results</w:t>
            </w:r>
          </w:p>
        </w:tc>
      </w:tr>
      <w:tr w:rsidR="00647B62" w:rsidTr="002941B9">
        <w:tc>
          <w:tcPr>
            <w:tcW w:w="3119" w:type="dxa"/>
            <w:tcBorders>
              <w:top w:val="single" w:sz="4" w:space="0" w:color="0070C0"/>
              <w:bottom w:val="single" w:sz="4" w:space="0" w:color="0070C0"/>
            </w:tcBorders>
          </w:tcPr>
          <w:p w:rsidR="00647B62" w:rsidRDefault="002A6443" w:rsidP="002941B9">
            <w:pPr>
              <w:jc w:val="both"/>
            </w:pPr>
            <w:r w:rsidRPr="002A6443">
              <w:t>2400 – Internal auditors must communicate the results of engagements.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5F02F2" w:rsidP="005F02F2">
            <w:pPr>
              <w:jc w:val="both"/>
            </w:pPr>
            <w:r>
              <w:t>2410 – Criteria for Communicating</w:t>
            </w:r>
            <w:r w:rsidR="004F1F44">
              <w:t xml:space="preserve">: </w:t>
            </w:r>
            <w:r>
              <w:t xml:space="preserve">Communications must include </w:t>
            </w:r>
            <w:r>
              <w:lastRenderedPageBreak/>
              <w:t>the engagement’s objectives and scope as well as applicable conclusions, recommendations, and action plans.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D35D38" w:rsidP="00D35D38">
            <w:pPr>
              <w:jc w:val="both"/>
            </w:pPr>
            <w:r>
              <w:t>2420 – Quality of Communications: Communications must be accurate, objective, clear, concise, constructive, complete, and timely.</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F57271" w:rsidP="00F57271">
            <w:pPr>
              <w:jc w:val="both"/>
            </w:pPr>
            <w:r>
              <w:t>2421 – Errors and Omissions: If a final communication contains a significant error or omission, the chief audit executive must communicate corrected information to all parties who received the original communication.</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365F14" w:rsidP="00365F14">
            <w:pPr>
              <w:jc w:val="both"/>
            </w:pPr>
            <w:r>
              <w:t>2430 – Use of “Conducted in Conformance with the ISPPIA”: Internal auditors may report that their engagements are “conducted in conformance with the ISPPIA”, only if the results of the quality assurance and improvement program support the statement.</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7802EE" w:rsidRDefault="007802EE" w:rsidP="007802EE">
            <w:pPr>
              <w:jc w:val="both"/>
            </w:pPr>
            <w:r>
              <w:t>2431 –When non-conformance with the Definition of Internal Auditing, the Code of Ethics or the Standards impacts a specific engagement, communication of the results must disclose the: Principle or rule of conduct of the Code of Ethics or Standard(s) with which full conformance was not achieved;</w:t>
            </w:r>
          </w:p>
          <w:p w:rsidR="00647B62" w:rsidRDefault="007802EE" w:rsidP="007802EE">
            <w:pPr>
              <w:jc w:val="both"/>
            </w:pPr>
            <w:r>
              <w:t>Reason(s) for non-conformance; and Impact of non-conformance on the engagement and the communicated engagement results.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647B62" w:rsidTr="002941B9">
        <w:tc>
          <w:tcPr>
            <w:tcW w:w="3119" w:type="dxa"/>
            <w:tcBorders>
              <w:top w:val="single" w:sz="4" w:space="0" w:color="0070C0"/>
              <w:bottom w:val="single" w:sz="4" w:space="0" w:color="0070C0"/>
            </w:tcBorders>
          </w:tcPr>
          <w:p w:rsidR="00647B62" w:rsidRDefault="00AF2097" w:rsidP="00AF2097">
            <w:pPr>
              <w:jc w:val="both"/>
            </w:pPr>
            <w:r>
              <w:t>2440 – Disseminating Results: The chief audit executive must communicate results to the appropriate parties.</w:t>
            </w:r>
          </w:p>
        </w:tc>
        <w:tc>
          <w:tcPr>
            <w:tcW w:w="893" w:type="dxa"/>
            <w:tcBorders>
              <w:top w:val="single" w:sz="4" w:space="0" w:color="0070C0"/>
              <w:bottom w:val="single" w:sz="4" w:space="0" w:color="0070C0"/>
            </w:tcBorders>
          </w:tcPr>
          <w:p w:rsidR="00647B62" w:rsidRDefault="00647B62" w:rsidP="002941B9">
            <w:pPr>
              <w:jc w:val="center"/>
            </w:pPr>
          </w:p>
        </w:tc>
        <w:tc>
          <w:tcPr>
            <w:tcW w:w="2884" w:type="dxa"/>
            <w:tcBorders>
              <w:top w:val="single" w:sz="4" w:space="0" w:color="0070C0"/>
              <w:bottom w:val="single" w:sz="4" w:space="0" w:color="0070C0"/>
            </w:tcBorders>
          </w:tcPr>
          <w:p w:rsidR="00647B62" w:rsidRDefault="00647B62" w:rsidP="002941B9">
            <w:pPr>
              <w:jc w:val="both"/>
            </w:pPr>
          </w:p>
        </w:tc>
        <w:tc>
          <w:tcPr>
            <w:tcW w:w="2885" w:type="dxa"/>
            <w:tcBorders>
              <w:top w:val="single" w:sz="4" w:space="0" w:color="0070C0"/>
              <w:bottom w:val="single" w:sz="4" w:space="0" w:color="0070C0"/>
            </w:tcBorders>
          </w:tcPr>
          <w:p w:rsidR="00647B62" w:rsidRDefault="00647B62" w:rsidP="002941B9">
            <w:pPr>
              <w:jc w:val="both"/>
            </w:pPr>
          </w:p>
        </w:tc>
      </w:tr>
      <w:tr w:rsidR="001B6FD3" w:rsidTr="001B6FD3">
        <w:tc>
          <w:tcPr>
            <w:tcW w:w="3119" w:type="dxa"/>
            <w:tcBorders>
              <w:top w:val="single" w:sz="4" w:space="0" w:color="0070C0"/>
              <w:bottom w:val="single" w:sz="4" w:space="0" w:color="0070C0"/>
            </w:tcBorders>
          </w:tcPr>
          <w:p w:rsidR="001B6FD3" w:rsidRDefault="001B6FD3" w:rsidP="001B6FD3">
            <w:pPr>
              <w:jc w:val="both"/>
            </w:pPr>
            <w:r>
              <w:t xml:space="preserve">2450 – Overall Opinions: When an overall opinion is issued, it must take into account the expectations of senior </w:t>
            </w:r>
            <w:r>
              <w:lastRenderedPageBreak/>
              <w:t>management, the board, and other stakeholders and must be supported by sufficient, reliable, relevant, and useful information.</w:t>
            </w:r>
          </w:p>
        </w:tc>
        <w:tc>
          <w:tcPr>
            <w:tcW w:w="893" w:type="dxa"/>
            <w:tcBorders>
              <w:top w:val="single" w:sz="4" w:space="0" w:color="0070C0"/>
              <w:bottom w:val="single" w:sz="4" w:space="0" w:color="0070C0"/>
            </w:tcBorders>
          </w:tcPr>
          <w:p w:rsidR="001B6FD3" w:rsidRDefault="001B6FD3" w:rsidP="002941B9">
            <w:pPr>
              <w:jc w:val="center"/>
            </w:pPr>
          </w:p>
        </w:tc>
        <w:tc>
          <w:tcPr>
            <w:tcW w:w="2884" w:type="dxa"/>
            <w:tcBorders>
              <w:top w:val="single" w:sz="4" w:space="0" w:color="0070C0"/>
              <w:bottom w:val="single" w:sz="4" w:space="0" w:color="0070C0"/>
            </w:tcBorders>
          </w:tcPr>
          <w:p w:rsidR="001B6FD3" w:rsidRDefault="001B6FD3" w:rsidP="002941B9">
            <w:pPr>
              <w:jc w:val="both"/>
            </w:pPr>
          </w:p>
        </w:tc>
        <w:tc>
          <w:tcPr>
            <w:tcW w:w="2885" w:type="dxa"/>
            <w:tcBorders>
              <w:top w:val="single" w:sz="4" w:space="0" w:color="0070C0"/>
              <w:bottom w:val="single" w:sz="4" w:space="0" w:color="0070C0"/>
            </w:tcBorders>
          </w:tcPr>
          <w:p w:rsidR="001B6FD3" w:rsidRDefault="001B6FD3" w:rsidP="002941B9">
            <w:pPr>
              <w:jc w:val="both"/>
            </w:pPr>
          </w:p>
        </w:tc>
      </w:tr>
      <w:tr w:rsidR="001B6FD3" w:rsidTr="001B6FD3">
        <w:tc>
          <w:tcPr>
            <w:tcW w:w="9781" w:type="dxa"/>
            <w:gridSpan w:val="4"/>
            <w:tcBorders>
              <w:top w:val="single" w:sz="4" w:space="0" w:color="0070C0"/>
              <w:bottom w:val="single" w:sz="4" w:space="0" w:color="0070C0"/>
            </w:tcBorders>
            <w:shd w:val="clear" w:color="auto" w:fill="C6D9F1" w:themeFill="text2" w:themeFillTint="33"/>
          </w:tcPr>
          <w:p w:rsidR="001B6FD3" w:rsidRDefault="001B6FD3" w:rsidP="002941B9">
            <w:pPr>
              <w:jc w:val="both"/>
            </w:pPr>
            <w:r w:rsidRPr="001B6FD3">
              <w:t>2500 – Monitoring Progress</w:t>
            </w:r>
          </w:p>
        </w:tc>
      </w:tr>
      <w:tr w:rsidR="001B6FD3" w:rsidTr="009D2C55">
        <w:tc>
          <w:tcPr>
            <w:tcW w:w="3119" w:type="dxa"/>
            <w:tcBorders>
              <w:top w:val="single" w:sz="4" w:space="0" w:color="0070C0"/>
              <w:bottom w:val="single" w:sz="4" w:space="0" w:color="0070C0"/>
            </w:tcBorders>
          </w:tcPr>
          <w:p w:rsidR="001B6FD3" w:rsidRDefault="001A52D9" w:rsidP="001A52D9">
            <w:pPr>
              <w:jc w:val="both"/>
            </w:pPr>
            <w:r w:rsidRPr="001A52D9">
              <w:t xml:space="preserve">2500 – </w:t>
            </w:r>
            <w:r w:rsidR="009D2C55" w:rsidRPr="009D2C55">
              <w:t>The chief audit executive must establish and maintain a system to monitor the disposition of results communicated to management.</w:t>
            </w:r>
          </w:p>
        </w:tc>
        <w:tc>
          <w:tcPr>
            <w:tcW w:w="893" w:type="dxa"/>
            <w:tcBorders>
              <w:top w:val="single" w:sz="4" w:space="0" w:color="0070C0"/>
              <w:bottom w:val="single" w:sz="4" w:space="0" w:color="0070C0"/>
            </w:tcBorders>
          </w:tcPr>
          <w:p w:rsidR="001B6FD3" w:rsidRDefault="001B6FD3" w:rsidP="002941B9">
            <w:pPr>
              <w:jc w:val="center"/>
            </w:pPr>
          </w:p>
        </w:tc>
        <w:tc>
          <w:tcPr>
            <w:tcW w:w="2884" w:type="dxa"/>
            <w:tcBorders>
              <w:top w:val="single" w:sz="4" w:space="0" w:color="0070C0"/>
              <w:bottom w:val="single" w:sz="4" w:space="0" w:color="0070C0"/>
            </w:tcBorders>
          </w:tcPr>
          <w:p w:rsidR="001B6FD3" w:rsidRDefault="001B6FD3" w:rsidP="002941B9">
            <w:pPr>
              <w:jc w:val="both"/>
            </w:pPr>
          </w:p>
        </w:tc>
        <w:tc>
          <w:tcPr>
            <w:tcW w:w="2885" w:type="dxa"/>
            <w:tcBorders>
              <w:top w:val="single" w:sz="4" w:space="0" w:color="0070C0"/>
              <w:bottom w:val="single" w:sz="4" w:space="0" w:color="0070C0"/>
            </w:tcBorders>
          </w:tcPr>
          <w:p w:rsidR="001B6FD3" w:rsidRDefault="001B6FD3" w:rsidP="002941B9">
            <w:pPr>
              <w:jc w:val="both"/>
            </w:pPr>
          </w:p>
        </w:tc>
      </w:tr>
      <w:tr w:rsidR="009D2C55" w:rsidTr="009D2C55">
        <w:tc>
          <w:tcPr>
            <w:tcW w:w="9781" w:type="dxa"/>
            <w:gridSpan w:val="4"/>
            <w:tcBorders>
              <w:top w:val="single" w:sz="4" w:space="0" w:color="0070C0"/>
              <w:bottom w:val="single" w:sz="4" w:space="0" w:color="0070C0"/>
            </w:tcBorders>
            <w:shd w:val="clear" w:color="auto" w:fill="C6D9F1" w:themeFill="text2" w:themeFillTint="33"/>
          </w:tcPr>
          <w:p w:rsidR="009D2C55" w:rsidRDefault="009D2C55" w:rsidP="002941B9">
            <w:pPr>
              <w:jc w:val="both"/>
            </w:pPr>
            <w:r w:rsidRPr="009D2C55">
              <w:t>2600 – Communicating the Acceptance of Risks</w:t>
            </w:r>
          </w:p>
        </w:tc>
      </w:tr>
      <w:tr w:rsidR="00B23C06" w:rsidTr="002941B9">
        <w:tc>
          <w:tcPr>
            <w:tcW w:w="3119" w:type="dxa"/>
            <w:tcBorders>
              <w:top w:val="single" w:sz="4" w:space="0" w:color="0070C0"/>
              <w:bottom w:val="single" w:sz="4" w:space="0" w:color="0070C0"/>
            </w:tcBorders>
          </w:tcPr>
          <w:p w:rsidR="00B23C06" w:rsidRDefault="009D2C55" w:rsidP="002941B9">
            <w:pPr>
              <w:jc w:val="both"/>
            </w:pPr>
            <w:r w:rsidRPr="009D2C55">
              <w:t>2600 –</w:t>
            </w:r>
            <w:r>
              <w:t xml:space="preserve"> </w:t>
            </w:r>
            <w:r w:rsidRPr="009D2C55">
              <w:t>When the chief audit executive concludes that management has accepted a level of risk that may be unacceptable to the organization, the chief audit executive must discuss the matter with senior management.</w:t>
            </w:r>
          </w:p>
        </w:tc>
        <w:tc>
          <w:tcPr>
            <w:tcW w:w="893" w:type="dxa"/>
            <w:tcBorders>
              <w:top w:val="single" w:sz="4" w:space="0" w:color="0070C0"/>
              <w:bottom w:val="single" w:sz="4" w:space="0" w:color="0070C0"/>
            </w:tcBorders>
          </w:tcPr>
          <w:p w:rsidR="00B23C06" w:rsidRDefault="00B23C06" w:rsidP="002941B9">
            <w:pPr>
              <w:jc w:val="center"/>
            </w:pPr>
          </w:p>
        </w:tc>
        <w:tc>
          <w:tcPr>
            <w:tcW w:w="2884" w:type="dxa"/>
            <w:tcBorders>
              <w:top w:val="single" w:sz="4" w:space="0" w:color="0070C0"/>
              <w:bottom w:val="single" w:sz="4" w:space="0" w:color="0070C0"/>
            </w:tcBorders>
          </w:tcPr>
          <w:p w:rsidR="00B23C06" w:rsidRDefault="00B23C06" w:rsidP="002941B9">
            <w:pPr>
              <w:jc w:val="both"/>
            </w:pPr>
          </w:p>
        </w:tc>
        <w:tc>
          <w:tcPr>
            <w:tcW w:w="2885" w:type="dxa"/>
            <w:tcBorders>
              <w:top w:val="single" w:sz="4" w:space="0" w:color="0070C0"/>
              <w:bottom w:val="single" w:sz="4" w:space="0" w:color="0070C0"/>
            </w:tcBorders>
          </w:tcPr>
          <w:p w:rsidR="00B23C06" w:rsidRDefault="00B23C06" w:rsidP="002941B9">
            <w:pPr>
              <w:jc w:val="both"/>
            </w:pPr>
          </w:p>
        </w:tc>
      </w:tr>
      <w:tr w:rsidR="00647B62" w:rsidTr="008945C8">
        <w:trPr>
          <w:trHeight w:val="1349"/>
        </w:trPr>
        <w:tc>
          <w:tcPr>
            <w:tcW w:w="3119" w:type="dxa"/>
            <w:tcBorders>
              <w:top w:val="single" w:sz="4" w:space="0" w:color="0070C0"/>
              <w:bottom w:val="single" w:sz="4" w:space="0" w:color="auto"/>
            </w:tcBorders>
          </w:tcPr>
          <w:p w:rsidR="00647B62" w:rsidRDefault="004E4DD7" w:rsidP="002941B9">
            <w:pPr>
              <w:jc w:val="both"/>
            </w:pPr>
            <w:r w:rsidRPr="009D2C55">
              <w:t>2600 –</w:t>
            </w:r>
            <w:r>
              <w:t xml:space="preserve"> </w:t>
            </w:r>
            <w:r w:rsidRPr="009D2C55">
              <w:t>If the chief audit executive determines that the matter has not been resolved, the chief audit executive must communicate the matter to the board.</w:t>
            </w:r>
          </w:p>
        </w:tc>
        <w:tc>
          <w:tcPr>
            <w:tcW w:w="893" w:type="dxa"/>
            <w:tcBorders>
              <w:top w:val="single" w:sz="4" w:space="0" w:color="0070C0"/>
              <w:bottom w:val="single" w:sz="4" w:space="0" w:color="auto"/>
            </w:tcBorders>
          </w:tcPr>
          <w:p w:rsidR="00647B62" w:rsidRDefault="00647B62" w:rsidP="002941B9">
            <w:pPr>
              <w:jc w:val="center"/>
            </w:pPr>
          </w:p>
        </w:tc>
        <w:tc>
          <w:tcPr>
            <w:tcW w:w="2884" w:type="dxa"/>
            <w:tcBorders>
              <w:top w:val="single" w:sz="4" w:space="0" w:color="0070C0"/>
              <w:bottom w:val="single" w:sz="4" w:space="0" w:color="auto"/>
            </w:tcBorders>
          </w:tcPr>
          <w:p w:rsidR="00647B62" w:rsidRDefault="00647B62" w:rsidP="002941B9">
            <w:pPr>
              <w:jc w:val="both"/>
            </w:pPr>
          </w:p>
        </w:tc>
        <w:tc>
          <w:tcPr>
            <w:tcW w:w="2885" w:type="dxa"/>
            <w:tcBorders>
              <w:top w:val="single" w:sz="4" w:space="0" w:color="0070C0"/>
              <w:bottom w:val="single" w:sz="4" w:space="0" w:color="auto"/>
            </w:tcBorders>
          </w:tcPr>
          <w:p w:rsidR="00647B62" w:rsidRDefault="00647B62" w:rsidP="002941B9">
            <w:pPr>
              <w:jc w:val="both"/>
            </w:pPr>
          </w:p>
        </w:tc>
      </w:tr>
    </w:tbl>
    <w:p w:rsidR="00647B62" w:rsidRPr="004A40AC" w:rsidRDefault="00647B62" w:rsidP="007C5C7D">
      <w:pPr>
        <w:jc w:val="both"/>
      </w:pPr>
    </w:p>
    <w:sectPr w:rsidR="00647B62" w:rsidRPr="004A40AC" w:rsidSect="003A3BB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5D" w:rsidRDefault="00B1335D" w:rsidP="003A3BB0">
      <w:pPr>
        <w:spacing w:after="0" w:line="240" w:lineRule="auto"/>
      </w:pPr>
      <w:r>
        <w:separator/>
      </w:r>
    </w:p>
  </w:endnote>
  <w:endnote w:type="continuationSeparator" w:id="0">
    <w:p w:rsidR="00B1335D" w:rsidRDefault="00B1335D" w:rsidP="003A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59" w:rsidRDefault="00315D59" w:rsidP="003A3BB0">
    <w:pPr>
      <w:pStyle w:val="Footer"/>
    </w:pPr>
    <w:r w:rsidRPr="003A3BB0">
      <w:rPr>
        <w:sz w:val="20"/>
        <w:szCs w:val="20"/>
      </w:rPr>
      <w:t>Internal Audit Unit</w:t>
    </w:r>
    <w:r>
      <w:ptab w:relativeTo="margin" w:alignment="center" w:leader="none"/>
    </w:r>
    <w:r>
      <w:ptab w:relativeTo="margin" w:alignment="right" w:leader="none"/>
    </w:r>
    <w:r w:rsidRPr="003A3BB0">
      <w:rPr>
        <w:sz w:val="20"/>
        <w:szCs w:val="20"/>
      </w:rPr>
      <w:t xml:space="preserve">Page </w:t>
    </w:r>
    <w:r w:rsidRPr="003A3BB0">
      <w:rPr>
        <w:b/>
        <w:sz w:val="20"/>
        <w:szCs w:val="20"/>
      </w:rPr>
      <w:fldChar w:fldCharType="begin"/>
    </w:r>
    <w:r w:rsidRPr="003A3BB0">
      <w:rPr>
        <w:b/>
        <w:sz w:val="20"/>
        <w:szCs w:val="20"/>
      </w:rPr>
      <w:instrText xml:space="preserve"> PAGE  \* Arabic  \* MERGEFORMAT </w:instrText>
    </w:r>
    <w:r w:rsidRPr="003A3BB0">
      <w:rPr>
        <w:b/>
        <w:sz w:val="20"/>
        <w:szCs w:val="20"/>
      </w:rPr>
      <w:fldChar w:fldCharType="separate"/>
    </w:r>
    <w:r w:rsidR="00C957DE">
      <w:rPr>
        <w:b/>
        <w:noProof/>
        <w:sz w:val="20"/>
        <w:szCs w:val="20"/>
      </w:rPr>
      <w:t>1</w:t>
    </w:r>
    <w:r w:rsidRPr="003A3BB0">
      <w:rPr>
        <w:b/>
        <w:sz w:val="20"/>
        <w:szCs w:val="20"/>
      </w:rPr>
      <w:fldChar w:fldCharType="end"/>
    </w:r>
    <w:r w:rsidRPr="003A3BB0">
      <w:rPr>
        <w:sz w:val="20"/>
        <w:szCs w:val="20"/>
      </w:rPr>
      <w:t xml:space="preserve"> of </w:t>
    </w:r>
    <w:r w:rsidRPr="003A3BB0">
      <w:rPr>
        <w:b/>
        <w:sz w:val="20"/>
        <w:szCs w:val="20"/>
      </w:rPr>
      <w:fldChar w:fldCharType="begin"/>
    </w:r>
    <w:r w:rsidRPr="003A3BB0">
      <w:rPr>
        <w:b/>
        <w:sz w:val="20"/>
        <w:szCs w:val="20"/>
      </w:rPr>
      <w:instrText xml:space="preserve"> NUMPAGES  \* Arabic  \* MERGEFORMAT </w:instrText>
    </w:r>
    <w:r w:rsidRPr="003A3BB0">
      <w:rPr>
        <w:b/>
        <w:sz w:val="20"/>
        <w:szCs w:val="20"/>
      </w:rPr>
      <w:fldChar w:fldCharType="separate"/>
    </w:r>
    <w:r w:rsidR="00C957DE">
      <w:rPr>
        <w:b/>
        <w:noProof/>
        <w:sz w:val="20"/>
        <w:szCs w:val="20"/>
      </w:rPr>
      <w:t>9</w:t>
    </w:r>
    <w:r w:rsidRPr="003A3BB0">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5D" w:rsidRDefault="00B1335D" w:rsidP="003A3BB0">
      <w:pPr>
        <w:spacing w:after="0" w:line="240" w:lineRule="auto"/>
      </w:pPr>
      <w:r>
        <w:separator/>
      </w:r>
    </w:p>
  </w:footnote>
  <w:footnote w:type="continuationSeparator" w:id="0">
    <w:p w:rsidR="00B1335D" w:rsidRDefault="00B1335D" w:rsidP="003A3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59" w:rsidRPr="003A3BB0" w:rsidRDefault="00315D59">
    <w:pPr>
      <w:pStyle w:val="Header"/>
      <w:rPr>
        <w:sz w:val="20"/>
        <w:szCs w:val="20"/>
      </w:rPr>
    </w:pPr>
    <w:r w:rsidRPr="003A3BB0">
      <w:rPr>
        <w:sz w:val="20"/>
        <w:szCs w:val="20"/>
      </w:rPr>
      <w:t>Internal Audit Quality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943FC"/>
    <w:multiLevelType w:val="hybridMultilevel"/>
    <w:tmpl w:val="D8BC4A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C0D05"/>
    <w:multiLevelType w:val="hybridMultilevel"/>
    <w:tmpl w:val="58E0F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6D"/>
    <w:rsid w:val="00025469"/>
    <w:rsid w:val="00041F75"/>
    <w:rsid w:val="00047DBD"/>
    <w:rsid w:val="000768E1"/>
    <w:rsid w:val="000B5CC6"/>
    <w:rsid w:val="000C7A6F"/>
    <w:rsid w:val="000E1762"/>
    <w:rsid w:val="00125516"/>
    <w:rsid w:val="001A39FB"/>
    <w:rsid w:val="001A52D9"/>
    <w:rsid w:val="001B6FD3"/>
    <w:rsid w:val="00233435"/>
    <w:rsid w:val="002A6443"/>
    <w:rsid w:val="002C2EB7"/>
    <w:rsid w:val="002D120A"/>
    <w:rsid w:val="002D7151"/>
    <w:rsid w:val="002F6966"/>
    <w:rsid w:val="00315D59"/>
    <w:rsid w:val="00365F14"/>
    <w:rsid w:val="003A3BB0"/>
    <w:rsid w:val="00433625"/>
    <w:rsid w:val="00480151"/>
    <w:rsid w:val="004A40AC"/>
    <w:rsid w:val="004A76B3"/>
    <w:rsid w:val="004E4DD7"/>
    <w:rsid w:val="004F1F44"/>
    <w:rsid w:val="00500B74"/>
    <w:rsid w:val="005F02F2"/>
    <w:rsid w:val="00602296"/>
    <w:rsid w:val="00647B62"/>
    <w:rsid w:val="0065642C"/>
    <w:rsid w:val="006C0BEE"/>
    <w:rsid w:val="00703782"/>
    <w:rsid w:val="007802EE"/>
    <w:rsid w:val="007A58D8"/>
    <w:rsid w:val="007C5C7D"/>
    <w:rsid w:val="007C736F"/>
    <w:rsid w:val="007E2752"/>
    <w:rsid w:val="00834756"/>
    <w:rsid w:val="00845001"/>
    <w:rsid w:val="008945C8"/>
    <w:rsid w:val="008D7F60"/>
    <w:rsid w:val="008F3105"/>
    <w:rsid w:val="008F4A2A"/>
    <w:rsid w:val="008F62BE"/>
    <w:rsid w:val="009127C0"/>
    <w:rsid w:val="00977E54"/>
    <w:rsid w:val="00981981"/>
    <w:rsid w:val="009D2C55"/>
    <w:rsid w:val="009D7CDC"/>
    <w:rsid w:val="00A16B48"/>
    <w:rsid w:val="00A246A9"/>
    <w:rsid w:val="00A40FC3"/>
    <w:rsid w:val="00A57BDF"/>
    <w:rsid w:val="00A6199C"/>
    <w:rsid w:val="00AB588D"/>
    <w:rsid w:val="00AE3462"/>
    <w:rsid w:val="00AF2097"/>
    <w:rsid w:val="00AF26E9"/>
    <w:rsid w:val="00B02B89"/>
    <w:rsid w:val="00B057A4"/>
    <w:rsid w:val="00B1335D"/>
    <w:rsid w:val="00B13F4F"/>
    <w:rsid w:val="00B23C06"/>
    <w:rsid w:val="00B7407C"/>
    <w:rsid w:val="00C03D5E"/>
    <w:rsid w:val="00C46F45"/>
    <w:rsid w:val="00C6324C"/>
    <w:rsid w:val="00C815C6"/>
    <w:rsid w:val="00C957DE"/>
    <w:rsid w:val="00CC4B47"/>
    <w:rsid w:val="00CF0B6D"/>
    <w:rsid w:val="00D00FBA"/>
    <w:rsid w:val="00D35D38"/>
    <w:rsid w:val="00D548B3"/>
    <w:rsid w:val="00D63636"/>
    <w:rsid w:val="00D75BED"/>
    <w:rsid w:val="00DB3815"/>
    <w:rsid w:val="00DC5D0F"/>
    <w:rsid w:val="00DC6A23"/>
    <w:rsid w:val="00DD19C4"/>
    <w:rsid w:val="00DE2350"/>
    <w:rsid w:val="00DE60DA"/>
    <w:rsid w:val="00E14628"/>
    <w:rsid w:val="00E37153"/>
    <w:rsid w:val="00E529DB"/>
    <w:rsid w:val="00E57D64"/>
    <w:rsid w:val="00E73073"/>
    <w:rsid w:val="00E9001E"/>
    <w:rsid w:val="00E96CD5"/>
    <w:rsid w:val="00EC1884"/>
    <w:rsid w:val="00ED2113"/>
    <w:rsid w:val="00F24502"/>
    <w:rsid w:val="00F559C9"/>
    <w:rsid w:val="00F57271"/>
    <w:rsid w:val="00F63C58"/>
    <w:rsid w:val="00F67DB9"/>
    <w:rsid w:val="00FB2056"/>
    <w:rsid w:val="00FF22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AF325-E160-414F-AF6B-731F1E90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BB0"/>
  </w:style>
  <w:style w:type="paragraph" w:styleId="Footer">
    <w:name w:val="footer"/>
    <w:basedOn w:val="Normal"/>
    <w:link w:val="FooterChar"/>
    <w:uiPriority w:val="99"/>
    <w:unhideWhenUsed/>
    <w:rsid w:val="003A3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BB0"/>
  </w:style>
  <w:style w:type="paragraph" w:styleId="BalloonText">
    <w:name w:val="Balloon Text"/>
    <w:basedOn w:val="Normal"/>
    <w:link w:val="BalloonTextChar"/>
    <w:uiPriority w:val="99"/>
    <w:semiHidden/>
    <w:unhideWhenUsed/>
    <w:rsid w:val="003A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B0"/>
    <w:rPr>
      <w:rFonts w:ascii="Tahoma" w:hAnsi="Tahoma" w:cs="Tahoma"/>
      <w:sz w:val="16"/>
      <w:szCs w:val="16"/>
    </w:rPr>
  </w:style>
  <w:style w:type="paragraph" w:styleId="ListParagraph">
    <w:name w:val="List Paragraph"/>
    <w:basedOn w:val="Normal"/>
    <w:uiPriority w:val="34"/>
    <w:qFormat/>
    <w:rsid w:val="004A40AC"/>
    <w:pPr>
      <w:ind w:left="720"/>
      <w:contextualSpacing/>
    </w:pPr>
  </w:style>
  <w:style w:type="table" w:styleId="TableGrid">
    <w:name w:val="Table Grid"/>
    <w:basedOn w:val="TableNormal"/>
    <w:uiPriority w:val="59"/>
    <w:rsid w:val="002D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Shaheem</dc:creator>
  <cp:keywords/>
  <dc:description/>
  <cp:lastModifiedBy>Aminath Afeef</cp:lastModifiedBy>
  <cp:revision>3</cp:revision>
  <dcterms:created xsi:type="dcterms:W3CDTF">2020-07-08T03:12:00Z</dcterms:created>
  <dcterms:modified xsi:type="dcterms:W3CDTF">2020-07-08T03:32:00Z</dcterms:modified>
</cp:coreProperties>
</file>