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7896E937"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FE17E7C"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4873F9">
        <w:rPr>
          <w:rFonts w:ascii="Arial" w:hAnsi="Arial" w:cs="Arial"/>
          <w:b w:val="0"/>
          <w:noProof/>
          <w:sz w:val="20"/>
        </w:rPr>
        <w:t>2</w:t>
      </w:r>
      <w:bookmarkStart w:id="1" w:name="_GoBack"/>
      <w:bookmarkEnd w:id="1"/>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2" w:name="_Toc438907193"/>
      <w:bookmarkStart w:id="3" w:name="_Toc4389072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2"/>
      <w:bookmarkEnd w:id="3"/>
    </w:p>
    <w:p w14:paraId="1F07AAE0" w14:textId="038E0868" w:rsidR="009931AB" w:rsidRPr="00B2705E" w:rsidRDefault="00F21BC8">
      <w:pPr>
        <w:pStyle w:val="TOC1"/>
        <w:tabs>
          <w:tab w:val="right" w:leader="dot" w:pos="9000"/>
        </w:tabs>
        <w:rPr>
          <w:rFonts w:ascii="Arial" w:hAnsi="Arial" w:cs="Arial"/>
          <w:b w:val="0"/>
          <w:noProof/>
          <w:sz w:val="20"/>
        </w:rPr>
      </w:pPr>
      <w:bookmarkStart w:id="4" w:name="_Toc438907194"/>
      <w:bookmarkStart w:id="5"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4"/>
      <w:bookmarkEnd w:id="5"/>
    </w:p>
    <w:p w14:paraId="04331803" w14:textId="43D67736" w:rsidR="009931AB" w:rsidRPr="00B2705E" w:rsidRDefault="00F21BC8">
      <w:pPr>
        <w:pStyle w:val="TOC1"/>
        <w:tabs>
          <w:tab w:val="right" w:leader="dot" w:pos="9000"/>
        </w:tabs>
        <w:rPr>
          <w:rFonts w:ascii="Arial" w:hAnsi="Arial" w:cs="Arial"/>
          <w:b w:val="0"/>
          <w:noProof/>
          <w:sz w:val="20"/>
        </w:rPr>
      </w:pPr>
      <w:bookmarkStart w:id="6" w:name="_Toc438907195"/>
      <w:bookmarkStart w:id="7"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6"/>
      <w:bookmarkEnd w:id="7"/>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8" w:name="_Toc108319956"/>
      <w:bookmarkStart w:id="9" w:name="_Toc108336168"/>
      <w:bookmarkStart w:id="10"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2970"/>
        <w:gridCol w:w="3127"/>
      </w:tblGrid>
      <w:tr w:rsidR="003B17D3" w:rsidRPr="00A24206" w14:paraId="22F30F41" w14:textId="77777777" w:rsidTr="00800D3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3127"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800D3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3127"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800D3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3127"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800D3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3127"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800D3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3127"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32942605"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8"/>
      <w:bookmarkEnd w:id="9"/>
      <w:bookmarkEnd w:id="10"/>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Authorized Signature: ………………………………………………………………………………………..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1" w:name="_Toc438734410"/>
      <w:bookmarkStart w:id="12" w:name="_Toc438907197"/>
      <w:bookmarkStart w:id="13"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1"/>
      <w:bookmarkEnd w:id="12"/>
      <w:bookmarkEnd w:id="13"/>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rsidSect="00AE0063">
          <w:headerReference w:type="even" r:id="rId8"/>
          <w:headerReference w:type="default" r:id="rId9"/>
          <w:footerReference w:type="even" r:id="rId10"/>
          <w:footerReference w:type="default" r:id="rId11"/>
          <w:headerReference w:type="first" r:id="rId12"/>
          <w:pgSz w:w="12240" w:h="15840" w:code="1"/>
          <w:pgMar w:top="1440" w:right="1170" w:bottom="1440" w:left="135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4" w:name="_Toc23238065"/>
      <w:bookmarkStart w:id="15" w:name="_Toc41971557"/>
      <w:bookmarkStart w:id="16" w:name="_Toc78273068"/>
      <w:bookmarkStart w:id="17" w:name="_Toc108319958"/>
      <w:bookmarkStart w:id="18" w:name="_Toc108336170"/>
      <w:bookmarkStart w:id="19" w:name="_Toc108415120"/>
      <w:bookmarkStart w:id="20" w:name="_Toc428352207"/>
      <w:bookmarkStart w:id="21" w:name="_Toc438734411"/>
      <w:bookmarkStart w:id="22" w:name="_Toc438907198"/>
      <w:bookmarkStart w:id="23" w:name="_Toc438907298"/>
      <w:r w:rsidRPr="00157F62">
        <w:rPr>
          <w:rFonts w:ascii="Arial" w:hAnsi="Arial"/>
          <w:b/>
          <w:sz w:val="36"/>
        </w:rPr>
        <w:lastRenderedPageBreak/>
        <w:t>Performance Security</w:t>
      </w:r>
      <w:bookmarkEnd w:id="14"/>
      <w:bookmarkEnd w:id="15"/>
      <w:bookmarkEnd w:id="16"/>
      <w:bookmarkEnd w:id="17"/>
      <w:bookmarkEnd w:id="18"/>
      <w:bookmarkEnd w:id="19"/>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r w:rsidR="005C4E9C">
        <w:rPr>
          <w:rFonts w:ascii="Arial" w:hAnsi="Arial" w:cs="Arial"/>
          <w:iCs/>
          <w:sz w:val="20"/>
          <w:szCs w:val="24"/>
        </w:rPr>
        <w:t>[</w:t>
      </w:r>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4"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4"/>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5"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5"/>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If the bank issuing performance security is located outside the Purchaser’s country, it shall be counter-guaranteed or encashable by a bank in the Purchaser’s country.</w:t>
      </w:r>
    </w:p>
    <w:p w14:paraId="3732111E" w14:textId="77777777" w:rsidR="006B6A54" w:rsidRPr="00971DB0" w:rsidRDefault="00F21BC8" w:rsidP="00576CD0">
      <w:pPr>
        <w:ind w:left="187" w:right="288"/>
        <w:jc w:val="center"/>
        <w:rPr>
          <w:rFonts w:ascii="Arial" w:hAnsi="Arial"/>
          <w:b/>
          <w:sz w:val="36"/>
        </w:rPr>
      </w:pPr>
      <w:bookmarkStart w:id="26" w:name="_Toc428352208"/>
      <w:bookmarkStart w:id="27" w:name="_Toc438734412"/>
      <w:bookmarkStart w:id="28" w:name="_Toc438907199"/>
      <w:bookmarkStart w:id="29" w:name="_Toc438907299"/>
      <w:bookmarkEnd w:id="20"/>
      <w:bookmarkEnd w:id="21"/>
      <w:bookmarkEnd w:id="22"/>
      <w:bookmarkEnd w:id="23"/>
      <w:r w:rsidRPr="008D1144">
        <w:rPr>
          <w:rFonts w:ascii="Arial" w:hAnsi="Arial" w:cs="Arial"/>
        </w:rPr>
        <w:br w:type="page"/>
      </w:r>
      <w:bookmarkEnd w:id="26"/>
      <w:bookmarkEnd w:id="27"/>
      <w:bookmarkEnd w:id="28"/>
      <w:bookmarkEnd w:id="29"/>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If the bank issuing advance payment security is located outside the Purchaser’s country, it shall be counter-guaranteed or encashable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1B5E7" w14:textId="77777777" w:rsidR="00022339" w:rsidRDefault="00022339" w:rsidP="00D6663D">
      <w:r>
        <w:separator/>
      </w:r>
    </w:p>
  </w:endnote>
  <w:endnote w:type="continuationSeparator" w:id="0">
    <w:p w14:paraId="7E8B6AE4" w14:textId="77777777" w:rsidR="00022339" w:rsidRDefault="0002233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Ideal Sans Light">
    <w:altName w:val="Calibri"/>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Ideal Sans Semibold">
    <w:altName w:val="Calibri"/>
    <w:charset w:val="00"/>
    <w:family w:val="auto"/>
    <w:pitch w:val="variable"/>
    <w:sig w:usb0="A100007F" w:usb1="5000005B" w:usb2="00000000" w:usb3="00000000" w:csb0="0000009B" w:csb1="00000000"/>
  </w:font>
  <w:font w:name="Comic Sans MS">
    <w:panose1 w:val="030F0702030302020204"/>
    <w:charset w:val="00"/>
    <w:family w:val="script"/>
    <w:pitch w:val="variable"/>
    <w:sig w:usb0="000006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12D71" w14:textId="01CF3EB9" w:rsidR="009931AB" w:rsidRPr="00AE0063" w:rsidRDefault="00AE0063" w:rsidP="00AE0063">
    <w:pPr>
      <w:pStyle w:val="Footer"/>
      <w:pBdr>
        <w:top w:val="single" w:sz="4" w:space="1" w:color="auto"/>
      </w:pBdr>
      <w:tabs>
        <w:tab w:val="clear" w:pos="9504"/>
        <w:tab w:val="center" w:pos="4770"/>
        <w:tab w:val="right" w:pos="9990"/>
      </w:tabs>
      <w:ind w:left="-18" w:right="-270" w:hanging="9"/>
      <w:rPr>
        <w:rFonts w:ascii="Arial" w:hAnsi="Arial" w:cs="Arial"/>
        <w:sz w:val="14"/>
        <w:szCs w:val="14"/>
      </w:rPr>
    </w:pPr>
    <w:r w:rsidRPr="001B4CA1">
      <w:rPr>
        <w:rFonts w:ascii="Arial" w:hAnsi="Arial" w:cs="Arial"/>
        <w:sz w:val="14"/>
        <w:szCs w:val="14"/>
      </w:rPr>
      <w:t>Supply, Upgrade, Install, Configure, Migrate, and Commission HPE Disaggregated Hyper-Converged Infrastructure</w:t>
    </w:r>
    <w:r>
      <w:rPr>
        <w:rFonts w:ascii="Arial" w:hAnsi="Arial" w:cs="Arial"/>
        <w:sz w:val="14"/>
        <w:szCs w:val="14"/>
      </w:rPr>
      <w:t xml:space="preserv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CE2F8" w14:textId="1EA32884" w:rsidR="009931AB" w:rsidRPr="00AE0063" w:rsidRDefault="00AE0063" w:rsidP="00AE0063">
    <w:pPr>
      <w:pStyle w:val="Footer"/>
      <w:pBdr>
        <w:top w:val="single" w:sz="4" w:space="1" w:color="auto"/>
      </w:pBdr>
      <w:tabs>
        <w:tab w:val="clear" w:pos="9504"/>
        <w:tab w:val="center" w:pos="4770"/>
        <w:tab w:val="right" w:pos="9990"/>
      </w:tabs>
      <w:ind w:left="-18" w:right="-270" w:hanging="9"/>
      <w:rPr>
        <w:rFonts w:ascii="Arial" w:hAnsi="Arial" w:cs="Arial"/>
        <w:sz w:val="14"/>
        <w:szCs w:val="14"/>
      </w:rPr>
    </w:pPr>
    <w:r w:rsidRPr="001B4CA1">
      <w:rPr>
        <w:rFonts w:ascii="Arial" w:hAnsi="Arial" w:cs="Arial"/>
        <w:sz w:val="14"/>
        <w:szCs w:val="14"/>
      </w:rPr>
      <w:t>Supply, Upgrade, Install, Configure, Migrate, and Commission HPE Disaggregated Hyper-Converged Infrastructure</w:t>
    </w:r>
    <w:r>
      <w:rPr>
        <w:rFonts w:ascii="Arial" w:hAnsi="Arial" w:cs="Arial"/>
        <w:sz w:val="14"/>
        <w:szCs w:val="14"/>
      </w:rPr>
      <w:t xml:space="preserv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5C60B" w14:textId="77777777" w:rsidR="00022339" w:rsidRDefault="00022339" w:rsidP="00D6663D">
      <w:r>
        <w:separator/>
      </w:r>
    </w:p>
  </w:footnote>
  <w:footnote w:type="continuationSeparator" w:id="0">
    <w:p w14:paraId="2C438AC9" w14:textId="77777777" w:rsidR="00022339" w:rsidRDefault="00022339"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2911" w14:textId="77777777" w:rsidR="009931AB" w:rsidRPr="00B2705E" w:rsidRDefault="00F21BC8" w:rsidP="00AE0063">
    <w:pPr>
      <w:pStyle w:val="Header"/>
      <w:tabs>
        <w:tab w:val="clear" w:pos="9000"/>
        <w:tab w:val="right" w:pos="9720"/>
      </w:tabs>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8190E" w14:textId="77777777" w:rsidR="009931AB" w:rsidRPr="00B2705E" w:rsidRDefault="00F21BC8" w:rsidP="00AE0063">
    <w:pPr>
      <w:pStyle w:val="Header"/>
      <w:tabs>
        <w:tab w:val="clear" w:pos="9000"/>
        <w:tab w:val="right" w:pos="9720"/>
      </w:tabs>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4"/>
  </w:num>
  <w:num w:numId="7">
    <w:abstractNumId w:val="0"/>
  </w:num>
  <w:num w:numId="8">
    <w:abstractNumId w:val="2"/>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2339"/>
    <w:rsid w:val="000268D5"/>
    <w:rsid w:val="00033242"/>
    <w:rsid w:val="00034CD9"/>
    <w:rsid w:val="00044E68"/>
    <w:rsid w:val="00056D3B"/>
    <w:rsid w:val="00085524"/>
    <w:rsid w:val="00093B9F"/>
    <w:rsid w:val="000A14F7"/>
    <w:rsid w:val="000C7F40"/>
    <w:rsid w:val="000D5468"/>
    <w:rsid w:val="000D5820"/>
    <w:rsid w:val="000E1018"/>
    <w:rsid w:val="000E103E"/>
    <w:rsid w:val="000E16BD"/>
    <w:rsid w:val="00136288"/>
    <w:rsid w:val="0014311B"/>
    <w:rsid w:val="0014340C"/>
    <w:rsid w:val="00147215"/>
    <w:rsid w:val="00157F62"/>
    <w:rsid w:val="00160171"/>
    <w:rsid w:val="001809C2"/>
    <w:rsid w:val="00180A72"/>
    <w:rsid w:val="00181241"/>
    <w:rsid w:val="001847F1"/>
    <w:rsid w:val="00195FBE"/>
    <w:rsid w:val="001C70F1"/>
    <w:rsid w:val="001D78BA"/>
    <w:rsid w:val="00201DB3"/>
    <w:rsid w:val="00210C7B"/>
    <w:rsid w:val="002241F7"/>
    <w:rsid w:val="00233F13"/>
    <w:rsid w:val="00234F53"/>
    <w:rsid w:val="002610C9"/>
    <w:rsid w:val="00282EA8"/>
    <w:rsid w:val="00292AEB"/>
    <w:rsid w:val="002B0E73"/>
    <w:rsid w:val="002B3EFE"/>
    <w:rsid w:val="002B668D"/>
    <w:rsid w:val="002E7E16"/>
    <w:rsid w:val="002F749F"/>
    <w:rsid w:val="002F774F"/>
    <w:rsid w:val="00307000"/>
    <w:rsid w:val="003214CC"/>
    <w:rsid w:val="00326298"/>
    <w:rsid w:val="00332709"/>
    <w:rsid w:val="0033486C"/>
    <w:rsid w:val="003415E2"/>
    <w:rsid w:val="00346752"/>
    <w:rsid w:val="00365C0D"/>
    <w:rsid w:val="00367588"/>
    <w:rsid w:val="00397189"/>
    <w:rsid w:val="003B17D3"/>
    <w:rsid w:val="003B6A4D"/>
    <w:rsid w:val="003C1D2A"/>
    <w:rsid w:val="003C736D"/>
    <w:rsid w:val="003C788E"/>
    <w:rsid w:val="003D01AA"/>
    <w:rsid w:val="003D2DC2"/>
    <w:rsid w:val="003D7550"/>
    <w:rsid w:val="003E7A0B"/>
    <w:rsid w:val="003F0301"/>
    <w:rsid w:val="003F1668"/>
    <w:rsid w:val="00403B80"/>
    <w:rsid w:val="00410B29"/>
    <w:rsid w:val="004161A4"/>
    <w:rsid w:val="00417ED4"/>
    <w:rsid w:val="00423CE7"/>
    <w:rsid w:val="004252B4"/>
    <w:rsid w:val="00426C91"/>
    <w:rsid w:val="00460F4B"/>
    <w:rsid w:val="00463022"/>
    <w:rsid w:val="00465680"/>
    <w:rsid w:val="00486773"/>
    <w:rsid w:val="004873F9"/>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82565"/>
    <w:rsid w:val="007905CE"/>
    <w:rsid w:val="007972E7"/>
    <w:rsid w:val="007A3F7D"/>
    <w:rsid w:val="007A5168"/>
    <w:rsid w:val="007A70A1"/>
    <w:rsid w:val="007C4391"/>
    <w:rsid w:val="007C614E"/>
    <w:rsid w:val="007E448A"/>
    <w:rsid w:val="00800ADA"/>
    <w:rsid w:val="00800D3F"/>
    <w:rsid w:val="00844E2E"/>
    <w:rsid w:val="00845098"/>
    <w:rsid w:val="00852A45"/>
    <w:rsid w:val="00860BE5"/>
    <w:rsid w:val="00880F93"/>
    <w:rsid w:val="008A04E9"/>
    <w:rsid w:val="008A093A"/>
    <w:rsid w:val="008A4F2B"/>
    <w:rsid w:val="008B240E"/>
    <w:rsid w:val="008B7F79"/>
    <w:rsid w:val="008C5F23"/>
    <w:rsid w:val="008D1144"/>
    <w:rsid w:val="008E076D"/>
    <w:rsid w:val="008E18D7"/>
    <w:rsid w:val="008E2950"/>
    <w:rsid w:val="008E299F"/>
    <w:rsid w:val="008E6714"/>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0063"/>
    <w:rsid w:val="00AE7F68"/>
    <w:rsid w:val="00B07FED"/>
    <w:rsid w:val="00B1346A"/>
    <w:rsid w:val="00B162C6"/>
    <w:rsid w:val="00B17769"/>
    <w:rsid w:val="00B22FF5"/>
    <w:rsid w:val="00B2705E"/>
    <w:rsid w:val="00B36984"/>
    <w:rsid w:val="00B46545"/>
    <w:rsid w:val="00B55B65"/>
    <w:rsid w:val="00B72D34"/>
    <w:rsid w:val="00B8091E"/>
    <w:rsid w:val="00B8239F"/>
    <w:rsid w:val="00B91F1D"/>
    <w:rsid w:val="00B92021"/>
    <w:rsid w:val="00BB05C1"/>
    <w:rsid w:val="00BB54AA"/>
    <w:rsid w:val="00BC4C81"/>
    <w:rsid w:val="00BD679A"/>
    <w:rsid w:val="00BE01C6"/>
    <w:rsid w:val="00BE29A4"/>
    <w:rsid w:val="00BE5B70"/>
    <w:rsid w:val="00BF1527"/>
    <w:rsid w:val="00C1284B"/>
    <w:rsid w:val="00C21363"/>
    <w:rsid w:val="00C55ED6"/>
    <w:rsid w:val="00C67B75"/>
    <w:rsid w:val="00C7120F"/>
    <w:rsid w:val="00C75047"/>
    <w:rsid w:val="00C76696"/>
    <w:rsid w:val="00C857C0"/>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E078D6"/>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62E22"/>
    <w:rsid w:val="00F7121A"/>
    <w:rsid w:val="00FA4BAF"/>
    <w:rsid w:val="00FA52F9"/>
    <w:rsid w:val="00FA6CE0"/>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 w:type="character" w:customStyle="1" w:styleId="FooterChar">
    <w:name w:val="Footer Char"/>
    <w:basedOn w:val="DefaultParagraphFont"/>
    <w:link w:val="Footer"/>
    <w:rsid w:val="00AE0063"/>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FF664-0E5F-4D71-BF57-0ECE349E3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TotalTime>
  <Pages>7</Pages>
  <Words>1505</Words>
  <Characters>8083</Characters>
  <Application>Microsoft Office Word</Application>
  <DocSecurity>0</DocSecurity>
  <Lines>260</Lines>
  <Paragraphs>111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User</cp:lastModifiedBy>
  <cp:revision>43</cp:revision>
  <cp:lastPrinted>2002-01-28T06:02:00Z</cp:lastPrinted>
  <dcterms:created xsi:type="dcterms:W3CDTF">2021-12-15T04:20:00Z</dcterms:created>
  <dcterms:modified xsi:type="dcterms:W3CDTF">2025-05-04T06:40:00Z</dcterms:modified>
  <cp:category>PPFD</cp:category>
</cp:coreProperties>
</file>