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A9FE0" w14:textId="3B485461" w:rsidR="00F658CA" w:rsidRPr="00BC7D61" w:rsidRDefault="00F658CA" w:rsidP="00F658CA">
      <w:pPr>
        <w:pStyle w:val="Header"/>
        <w:tabs>
          <w:tab w:val="clear" w:pos="4680"/>
          <w:tab w:val="right" w:pos="1133"/>
          <w:tab w:val="center" w:pos="4535"/>
          <w:tab w:val="right" w:pos="9071"/>
        </w:tabs>
        <w:bidi/>
        <w:jc w:val="center"/>
        <w:rPr>
          <w:rFonts w:ascii="Faruma" w:hAnsi="Faruma" w:cs="Faruma"/>
          <w:color w:val="000000" w:themeColor="text1"/>
          <w:sz w:val="36"/>
          <w:szCs w:val="36"/>
          <w:lang w:bidi="dv-MV"/>
        </w:rPr>
      </w:pPr>
      <w:r w:rsidRPr="00BC7D61">
        <w:rPr>
          <w:b/>
          <w:bCs/>
          <w:noProof/>
          <w:color w:val="000000" w:themeColor="text1"/>
          <w:sz w:val="28"/>
          <w:szCs w:val="28"/>
          <w:u w:val="single"/>
        </w:rPr>
        <w:drawing>
          <wp:anchor distT="0" distB="0" distL="114300" distR="114300" simplePos="0" relativeHeight="251662336" behindDoc="1" locked="0" layoutInCell="1" allowOverlap="1" wp14:anchorId="1422FA4F" wp14:editId="60D9DACA">
            <wp:simplePos x="0" y="0"/>
            <wp:positionH relativeFrom="margin">
              <wp:posOffset>2832100</wp:posOffset>
            </wp:positionH>
            <wp:positionV relativeFrom="paragraph">
              <wp:posOffset>48260</wp:posOffset>
            </wp:positionV>
            <wp:extent cx="349250" cy="387350"/>
            <wp:effectExtent l="0" t="0" r="0" b="0"/>
            <wp:wrapTight wrapText="bothSides">
              <wp:wrapPolygon edited="0">
                <wp:start x="0" y="0"/>
                <wp:lineTo x="0" y="20184"/>
                <wp:lineTo x="20029" y="20184"/>
                <wp:lineTo x="200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439E8" w14:textId="71D2B3CB" w:rsidR="00F658CA" w:rsidRPr="00BC7D61" w:rsidRDefault="00F658CA" w:rsidP="00F658CA">
      <w:pPr>
        <w:pStyle w:val="Header"/>
        <w:tabs>
          <w:tab w:val="clear" w:pos="4680"/>
          <w:tab w:val="center" w:pos="4535"/>
          <w:tab w:val="right" w:pos="9071"/>
        </w:tabs>
        <w:bidi/>
        <w:jc w:val="center"/>
        <w:rPr>
          <w:rFonts w:ascii="Faruma" w:hAnsi="Faruma" w:cs="Faruma"/>
          <w:color w:val="000000" w:themeColor="text1"/>
          <w:lang w:bidi="dv-MV"/>
        </w:rPr>
      </w:pPr>
    </w:p>
    <w:p w14:paraId="0CDCF801" w14:textId="2871F790" w:rsidR="00F658CA" w:rsidRPr="00F658CA" w:rsidRDefault="00F658CA" w:rsidP="00D74C94">
      <w:pPr>
        <w:widowControl w:val="0"/>
        <w:autoSpaceDE w:val="0"/>
        <w:autoSpaceDN w:val="0"/>
        <w:adjustRightInd w:val="0"/>
        <w:jc w:val="center"/>
        <w:rPr>
          <w:rFonts w:asciiTheme="majorBidi" w:hAnsiTheme="majorBidi" w:cstheme="majorBidi"/>
          <w:color w:val="000000" w:themeColor="text1"/>
          <w:sz w:val="20"/>
          <w:szCs w:val="20"/>
          <w:lang w:bidi="dv-MV"/>
        </w:rPr>
      </w:pPr>
      <w:r w:rsidRPr="00F658CA">
        <w:rPr>
          <w:rFonts w:asciiTheme="majorBidi" w:hAnsiTheme="majorBidi" w:cstheme="majorBidi"/>
          <w:b/>
          <w:bCs/>
          <w:color w:val="000000" w:themeColor="text1"/>
          <w:lang w:bidi="dv-MV"/>
        </w:rPr>
        <w:t xml:space="preserve">Ministry of </w:t>
      </w:r>
      <w:r w:rsidR="00D74C94">
        <w:rPr>
          <w:rFonts w:asciiTheme="majorBidi" w:hAnsiTheme="majorBidi" w:cstheme="majorBidi"/>
          <w:b/>
          <w:bCs/>
          <w:color w:val="000000" w:themeColor="text1"/>
          <w:lang w:bidi="dv-MV"/>
        </w:rPr>
        <w:t>Finance</w:t>
      </w:r>
      <w:bookmarkStart w:id="0" w:name="_GoBack"/>
      <w:bookmarkEnd w:id="0"/>
      <w:r w:rsidRPr="00F658CA">
        <w:rPr>
          <w:rFonts w:asciiTheme="majorBidi" w:hAnsiTheme="majorBidi" w:cstheme="majorBidi"/>
          <w:b/>
          <w:bCs/>
          <w:color w:val="000000" w:themeColor="text1"/>
          <w:lang w:bidi="dv-MV"/>
        </w:rPr>
        <w:br/>
      </w:r>
      <w:r w:rsidRPr="00F658CA">
        <w:rPr>
          <w:rFonts w:asciiTheme="majorBidi" w:hAnsiTheme="majorBidi" w:cstheme="majorBidi"/>
          <w:color w:val="000000" w:themeColor="text1"/>
          <w:sz w:val="20"/>
          <w:szCs w:val="20"/>
          <w:lang w:bidi="dv-MV"/>
        </w:rPr>
        <w:t>Republic of Maldives</w:t>
      </w:r>
    </w:p>
    <w:p w14:paraId="039314F7" w14:textId="77777777" w:rsidR="00F658CA" w:rsidRDefault="00F658CA" w:rsidP="00611A4D">
      <w:pPr>
        <w:spacing w:line="240" w:lineRule="auto"/>
        <w:jc w:val="center"/>
        <w:rPr>
          <w:rFonts w:ascii="Times New Roman" w:hAnsi="Times New Roman" w:cs="Times New Roman"/>
          <w:b/>
        </w:rPr>
      </w:pPr>
    </w:p>
    <w:p w14:paraId="1ACEE5E3" w14:textId="0CF5AA46" w:rsidR="00611A4D" w:rsidRDefault="00611A4D" w:rsidP="00F658CA">
      <w:pPr>
        <w:spacing w:line="240" w:lineRule="auto"/>
        <w:jc w:val="center"/>
        <w:rPr>
          <w:rFonts w:ascii="Times New Roman" w:hAnsi="Times New Roman" w:cs="Times New Roman"/>
          <w:b/>
          <w:sz w:val="32"/>
          <w:szCs w:val="32"/>
          <w:u w:val="single"/>
        </w:rPr>
      </w:pPr>
      <w:r w:rsidRPr="0022652F">
        <w:rPr>
          <w:rFonts w:ascii="Times New Roman" w:hAnsi="Times New Roman" w:cs="Times New Roman"/>
          <w:b/>
          <w:sz w:val="32"/>
          <w:szCs w:val="32"/>
          <w:u w:val="single"/>
        </w:rPr>
        <w:t>TERMS OF REFERENCE</w:t>
      </w:r>
    </w:p>
    <w:p w14:paraId="314D2B50" w14:textId="77777777" w:rsidR="0022652F" w:rsidRPr="0022652F" w:rsidRDefault="0022652F" w:rsidP="00F658CA">
      <w:pPr>
        <w:spacing w:line="240" w:lineRule="auto"/>
        <w:jc w:val="center"/>
        <w:rPr>
          <w:rFonts w:ascii="Times New Roman" w:hAnsi="Times New Roman" w:cs="Times New Roman"/>
          <w:b/>
          <w:sz w:val="16"/>
          <w:szCs w:val="16"/>
          <w:u w:val="single"/>
        </w:rPr>
      </w:pPr>
    </w:p>
    <w:p w14:paraId="53E1C860" w14:textId="42F19D04" w:rsidR="0022652F" w:rsidRDefault="0022652F" w:rsidP="0022652F">
      <w:pPr>
        <w:spacing w:line="240" w:lineRule="auto"/>
        <w:jc w:val="center"/>
        <w:rPr>
          <w:rFonts w:ascii="Times New Roman" w:hAnsi="Times New Roman" w:cs="Times New Roman"/>
          <w:b/>
          <w:sz w:val="24"/>
          <w:szCs w:val="24"/>
          <w:u w:val="single"/>
        </w:rPr>
      </w:pPr>
      <w:r w:rsidRPr="0022652F">
        <w:rPr>
          <w:rFonts w:ascii="Times New Roman" w:hAnsi="Times New Roman" w:cs="Times New Roman"/>
          <w:b/>
          <w:sz w:val="24"/>
          <w:szCs w:val="24"/>
          <w:u w:val="single"/>
        </w:rPr>
        <w:t xml:space="preserve">CONSULTANCY </w:t>
      </w:r>
      <w:r w:rsidR="00611A4D" w:rsidRPr="0022652F">
        <w:rPr>
          <w:rFonts w:ascii="Times New Roman" w:hAnsi="Times New Roman" w:cs="Times New Roman"/>
          <w:b/>
          <w:sz w:val="24"/>
          <w:szCs w:val="24"/>
          <w:u w:val="single"/>
        </w:rPr>
        <w:t>FOR THE ASSESSMENT OF THE NATIONAL SPATIAL PLAN AND DEVELOPMENT OF LOCAL DEVELOPMENT PLANS</w:t>
      </w:r>
      <w:r w:rsidR="00F658CA" w:rsidRPr="0022652F">
        <w:rPr>
          <w:rFonts w:ascii="Times New Roman" w:hAnsi="Times New Roman" w:cs="Times New Roman"/>
          <w:b/>
          <w:sz w:val="24"/>
          <w:szCs w:val="24"/>
          <w:u w:val="single"/>
        </w:rPr>
        <w:t xml:space="preserve"> (ADDU REGION)</w:t>
      </w:r>
    </w:p>
    <w:p w14:paraId="112F5337" w14:textId="17D0DE6C" w:rsidR="00611A4D" w:rsidRPr="0022652F" w:rsidRDefault="00611A4D" w:rsidP="0022652F">
      <w:pPr>
        <w:spacing w:line="240" w:lineRule="auto"/>
        <w:jc w:val="center"/>
        <w:rPr>
          <w:rFonts w:ascii="Times New Roman" w:hAnsi="Times New Roman" w:cs="Times New Roman"/>
          <w:b/>
          <w:sz w:val="24"/>
          <w:szCs w:val="24"/>
          <w:u w:val="single"/>
        </w:rPr>
      </w:pPr>
      <w:r w:rsidRPr="0022652F">
        <w:rPr>
          <w:rFonts w:ascii="Times New Roman" w:hAnsi="Times New Roman" w:cs="Times New Roman"/>
          <w:b/>
          <w:u w:val="single"/>
        </w:rPr>
        <w:t>MALDIVES URBAN DEVELOPMENT AND RESILIENCE PROJECT</w:t>
      </w:r>
    </w:p>
    <w:p w14:paraId="6CB7C697" w14:textId="77777777" w:rsidR="00611A4D" w:rsidRDefault="00611A4D" w:rsidP="00611A4D">
      <w:pPr>
        <w:spacing w:line="240" w:lineRule="auto"/>
        <w:rPr>
          <w:rFonts w:ascii="Times New Roman" w:hAnsi="Times New Roman" w:cs="Times New Roman"/>
          <w:b/>
        </w:rPr>
      </w:pPr>
      <w:r>
        <w:rPr>
          <w:rFonts w:ascii="Times New Roman" w:hAnsi="Times New Roman" w:cs="Times New Roman"/>
          <w:b/>
        </w:rPr>
        <w:t>Background</w:t>
      </w:r>
    </w:p>
    <w:p w14:paraId="614A86E4" w14:textId="77777777" w:rsidR="00611A4D" w:rsidRDefault="00611A4D" w:rsidP="00611A4D">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 xml:space="preserve">A well-functioning and productive system of urban centers is essential for catalyzing and supporting the </w:t>
      </w:r>
      <w:r w:rsidRPr="002F31C0">
        <w:rPr>
          <w:rFonts w:ascii="Times New Roman" w:hAnsi="Times New Roman" w:cs="Times New Roman"/>
        </w:rPr>
        <w:t xml:space="preserve">transformation of the Maldivian economy and efforts to translate economic growth into poverty reduction.  The Maldives’ National Spatial Plan (NSP) (2020-2040) and regional development plans are intended to develop a system of competitive, environmentally sustainable and resilient regions.  The development of this system of regional hubs is based on the fostering of economic growth in urban </w:t>
      </w:r>
      <w:r>
        <w:rPr>
          <w:rFonts w:ascii="Times New Roman" w:hAnsi="Times New Roman" w:cs="Times New Roman"/>
        </w:rPr>
        <w:t>centers</w:t>
      </w:r>
      <w:r w:rsidRPr="002F31C0">
        <w:rPr>
          <w:rFonts w:ascii="Times New Roman" w:hAnsi="Times New Roman" w:cs="Times New Roman"/>
        </w:rPr>
        <w:t xml:space="preserve"> outside of Greater </w:t>
      </w:r>
      <w:proofErr w:type="spellStart"/>
      <w:r w:rsidRPr="002F31C0">
        <w:rPr>
          <w:rFonts w:ascii="Times New Roman" w:hAnsi="Times New Roman" w:cs="Times New Roman"/>
        </w:rPr>
        <w:t>Malé</w:t>
      </w:r>
      <w:proofErr w:type="spellEnd"/>
      <w:r w:rsidRPr="002F31C0">
        <w:rPr>
          <w:rFonts w:ascii="Times New Roman" w:hAnsi="Times New Roman" w:cs="Times New Roman"/>
        </w:rPr>
        <w:t>, a process which is intended to produce a more spatially balanced distribution of economic opportunities, while at the same time reducing congestion in the capital and bolstering overall national economic growth.</w:t>
      </w:r>
    </w:p>
    <w:p w14:paraId="0325B25F" w14:textId="77777777" w:rsidR="00611A4D" w:rsidRDefault="00611A4D" w:rsidP="00611A4D">
      <w:pPr>
        <w:pStyle w:val="ListParagraph"/>
        <w:spacing w:line="240" w:lineRule="auto"/>
        <w:jc w:val="both"/>
        <w:rPr>
          <w:rFonts w:ascii="Times New Roman" w:hAnsi="Times New Roman" w:cs="Times New Roman"/>
        </w:rPr>
      </w:pPr>
      <w:r w:rsidRPr="002F31C0">
        <w:rPr>
          <w:rFonts w:ascii="Times New Roman" w:hAnsi="Times New Roman" w:cs="Times New Roman"/>
        </w:rPr>
        <w:t xml:space="preserve"> </w:t>
      </w:r>
    </w:p>
    <w:p w14:paraId="58389C4F" w14:textId="7FAEED73" w:rsidR="00611A4D" w:rsidRDefault="00611A4D" w:rsidP="00611A4D">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MNPI is currently developing the NSP. The Plan has identified 21 Regional Centers and developed a typology of two tiers of Urban Centers, Satellite Centers, and a Central Urban Cent</w:t>
      </w:r>
      <w:r w:rsidR="005C2E1A">
        <w:rPr>
          <w:rFonts w:ascii="Times New Roman" w:hAnsi="Times New Roman" w:cs="Times New Roman"/>
        </w:rPr>
        <w:t xml:space="preserve">er </w:t>
      </w:r>
      <w:r>
        <w:rPr>
          <w:rFonts w:ascii="Times New Roman" w:hAnsi="Times New Roman" w:cs="Times New Roman"/>
        </w:rPr>
        <w:t xml:space="preserve">of the Greater </w:t>
      </w:r>
      <w:proofErr w:type="spellStart"/>
      <w:r>
        <w:rPr>
          <w:rFonts w:ascii="Times New Roman" w:hAnsi="Times New Roman" w:cs="Times New Roman"/>
        </w:rPr>
        <w:t>Malé</w:t>
      </w:r>
      <w:proofErr w:type="spellEnd"/>
      <w:r>
        <w:rPr>
          <w:rFonts w:ascii="Times New Roman" w:hAnsi="Times New Roman" w:cs="Times New Roman"/>
        </w:rPr>
        <w:t xml:space="preserve"> area. These 14 Urban Centers include 5 upper tier Urban Centers and 9 lower tier Urban Centers, where the upper tier centers will cover a radius of 40 km and the lower tier centers will cover a radius of 35km. As the 5 upper tier Urban Centers will be developed to support a larger population than the other regions, a higher order of services ha</w:t>
      </w:r>
      <w:r w:rsidR="00A17228">
        <w:rPr>
          <w:rFonts w:ascii="Times New Roman" w:hAnsi="Times New Roman" w:cs="Times New Roman"/>
        </w:rPr>
        <w:t>s</w:t>
      </w:r>
      <w:r>
        <w:rPr>
          <w:rFonts w:ascii="Times New Roman" w:hAnsi="Times New Roman" w:cs="Times New Roman"/>
        </w:rPr>
        <w:t xml:space="preserve"> been allocated for these centers. The NSP defines service allocations for the hierarchy of Regions identified within the Plan, which should be well reflected within the Regional and </w:t>
      </w:r>
      <w:proofErr w:type="spellStart"/>
      <w:r>
        <w:rPr>
          <w:rFonts w:ascii="Times New Roman" w:hAnsi="Times New Roman" w:cs="Times New Roman"/>
        </w:rPr>
        <w:t>Sectoral</w:t>
      </w:r>
      <w:proofErr w:type="spellEnd"/>
      <w:r>
        <w:rPr>
          <w:rFonts w:ascii="Times New Roman" w:hAnsi="Times New Roman" w:cs="Times New Roman"/>
        </w:rPr>
        <w:t xml:space="preserve"> Master Plans of the country. Establishing an integrated transportation network is taken as a prerequisite for decentralized development and hence inter and intra-regional multi-modal connections will be established as an integral part of this Plan. Satellite Regions identified will be provided with direct and fast connections to these Urban Centers, facilitating to mitigate the marginalization of isolated island clusters and limited economies of scale and resources. All Centers/Regions identified through this plan are not limited to a single island and rather consist of island clusters which will developed in an integrated manner to support unified functionality through a transportation and ICT connections. </w:t>
      </w:r>
    </w:p>
    <w:p w14:paraId="0ED16C94" w14:textId="77777777" w:rsidR="00611A4D" w:rsidRPr="002F31C0" w:rsidRDefault="00611A4D" w:rsidP="00611A4D">
      <w:pPr>
        <w:pStyle w:val="ListParagraph"/>
        <w:spacing w:line="240" w:lineRule="auto"/>
        <w:jc w:val="both"/>
        <w:rPr>
          <w:rFonts w:ascii="Times New Roman" w:hAnsi="Times New Roman" w:cs="Times New Roman"/>
        </w:rPr>
      </w:pPr>
    </w:p>
    <w:p w14:paraId="133F2723" w14:textId="3BF1FC17" w:rsidR="00611A4D" w:rsidRPr="002F31C0" w:rsidRDefault="00611A4D" w:rsidP="00611A4D">
      <w:pPr>
        <w:pStyle w:val="ListParagraph"/>
        <w:numPr>
          <w:ilvl w:val="0"/>
          <w:numId w:val="1"/>
        </w:numPr>
        <w:spacing w:line="240" w:lineRule="auto"/>
        <w:jc w:val="both"/>
        <w:rPr>
          <w:rFonts w:ascii="Times New Roman" w:hAnsi="Times New Roman" w:cs="Times New Roman"/>
        </w:rPr>
      </w:pPr>
      <w:r w:rsidRPr="002F31C0">
        <w:rPr>
          <w:rFonts w:ascii="Times New Roman" w:hAnsi="Times New Roman" w:cs="Times New Roman"/>
        </w:rPr>
        <w:t xml:space="preserve">In order to realize the vision of a system of regional </w:t>
      </w:r>
      <w:r>
        <w:rPr>
          <w:rFonts w:ascii="Times New Roman" w:hAnsi="Times New Roman" w:cs="Times New Roman"/>
        </w:rPr>
        <w:t>U</w:t>
      </w:r>
      <w:r w:rsidRPr="002F31C0">
        <w:rPr>
          <w:rFonts w:ascii="Times New Roman" w:hAnsi="Times New Roman" w:cs="Times New Roman"/>
        </w:rPr>
        <w:t xml:space="preserve">rban </w:t>
      </w:r>
      <w:r>
        <w:rPr>
          <w:rFonts w:ascii="Times New Roman" w:hAnsi="Times New Roman" w:cs="Times New Roman"/>
        </w:rPr>
        <w:t>Centers</w:t>
      </w:r>
      <w:r w:rsidRPr="002F31C0">
        <w:rPr>
          <w:rFonts w:ascii="Times New Roman" w:hAnsi="Times New Roman" w:cs="Times New Roman"/>
        </w:rPr>
        <w:t>, the Government of Maldives (</w:t>
      </w:r>
      <w:proofErr w:type="spellStart"/>
      <w:r w:rsidRPr="002F31C0">
        <w:rPr>
          <w:rFonts w:ascii="Times New Roman" w:hAnsi="Times New Roman" w:cs="Times New Roman"/>
        </w:rPr>
        <w:t>GoM</w:t>
      </w:r>
      <w:proofErr w:type="spellEnd"/>
      <w:r w:rsidRPr="002F31C0">
        <w:rPr>
          <w:rFonts w:ascii="Times New Roman" w:hAnsi="Times New Roman" w:cs="Times New Roman"/>
        </w:rPr>
        <w:t xml:space="preserve">) has initiated a national-level program to manage the development of strategic </w:t>
      </w:r>
      <w:r>
        <w:rPr>
          <w:rFonts w:ascii="Times New Roman" w:hAnsi="Times New Roman" w:cs="Times New Roman"/>
        </w:rPr>
        <w:t>centers</w:t>
      </w:r>
      <w:r w:rsidRPr="002F31C0">
        <w:rPr>
          <w:rFonts w:ascii="Times New Roman" w:hAnsi="Times New Roman" w:cs="Times New Roman"/>
        </w:rPr>
        <w:t xml:space="preserve"> and to ensure a consistent and coherent approach in developing key cities.  The World Bank and </w:t>
      </w:r>
      <w:proofErr w:type="spellStart"/>
      <w:r w:rsidRPr="002F31C0">
        <w:rPr>
          <w:rFonts w:ascii="Times New Roman" w:hAnsi="Times New Roman" w:cs="Times New Roman"/>
        </w:rPr>
        <w:t>GoM</w:t>
      </w:r>
      <w:proofErr w:type="spellEnd"/>
      <w:r w:rsidRPr="002F31C0">
        <w:rPr>
          <w:rFonts w:ascii="Times New Roman" w:hAnsi="Times New Roman" w:cs="Times New Roman"/>
        </w:rPr>
        <w:t xml:space="preserve"> have embarked on the first phase to support this program under the Maldives Urban Development and Resilience Project (MUDRP), focused on </w:t>
      </w:r>
      <w:r>
        <w:rPr>
          <w:rFonts w:ascii="Times New Roman" w:hAnsi="Times New Roman" w:cs="Times New Roman"/>
        </w:rPr>
        <w:t xml:space="preserve">an </w:t>
      </w:r>
      <w:r w:rsidRPr="002F31C0">
        <w:rPr>
          <w:rFonts w:ascii="Times New Roman" w:hAnsi="Times New Roman" w:cs="Times New Roman"/>
        </w:rPr>
        <w:t xml:space="preserve">assessment of the implementation of the NSP and </w:t>
      </w:r>
      <w:r w:rsidR="00947873">
        <w:rPr>
          <w:rFonts w:ascii="Times New Roman" w:hAnsi="Times New Roman" w:cs="Times New Roman"/>
        </w:rPr>
        <w:t>a</w:t>
      </w:r>
      <w:r>
        <w:rPr>
          <w:rFonts w:ascii="Times New Roman" w:hAnsi="Times New Roman" w:cs="Times New Roman"/>
        </w:rPr>
        <w:t xml:space="preserve"> Regional Center as</w:t>
      </w:r>
      <w:r w:rsidR="00947873">
        <w:rPr>
          <w:rFonts w:ascii="Times New Roman" w:hAnsi="Times New Roman" w:cs="Times New Roman"/>
        </w:rPr>
        <w:t xml:space="preserve"> a</w:t>
      </w:r>
      <w:r>
        <w:rPr>
          <w:rFonts w:ascii="Times New Roman" w:hAnsi="Times New Roman" w:cs="Times New Roman"/>
        </w:rPr>
        <w:t xml:space="preserve"> case stud</w:t>
      </w:r>
      <w:r w:rsidR="00947873">
        <w:rPr>
          <w:rFonts w:ascii="Times New Roman" w:hAnsi="Times New Roman" w:cs="Times New Roman"/>
        </w:rPr>
        <w:t>y</w:t>
      </w:r>
      <w:r w:rsidRPr="002F31C0">
        <w:rPr>
          <w:rFonts w:ascii="Times New Roman" w:hAnsi="Times New Roman" w:cs="Times New Roman"/>
        </w:rPr>
        <w:t xml:space="preserve">. MUDRP is currently under preparation and scheduled for World Bank Board approval in January 2020. </w:t>
      </w:r>
      <w:r>
        <w:rPr>
          <w:rFonts w:ascii="Times New Roman" w:hAnsi="Times New Roman" w:cs="Times New Roman"/>
        </w:rPr>
        <w:t xml:space="preserve">Its regional development Technical Assistance will provide </w:t>
      </w:r>
      <w:r w:rsidRPr="0043231E">
        <w:rPr>
          <w:rFonts w:ascii="Times New Roman" w:hAnsi="Times New Roman" w:cs="Times New Roman"/>
        </w:rPr>
        <w:t xml:space="preserve">a comprehensive look at economic development, land use and transport planning, service delivery and social development within a larger lens of resilient regional development—with the aim of improving livability and resilience of these areas and identifying a model that works for the country </w:t>
      </w:r>
      <w:r w:rsidRPr="0043231E">
        <w:rPr>
          <w:rFonts w:ascii="Times New Roman" w:hAnsi="Times New Roman" w:cs="Times New Roman"/>
        </w:rPr>
        <w:lastRenderedPageBreak/>
        <w:t xml:space="preserve">and that would provide a blueprint for the development of the rest of the country. From the results of the analytical work, the project plans to provide suggestions and recommendations to </w:t>
      </w:r>
      <w:proofErr w:type="spellStart"/>
      <w:r w:rsidRPr="0043231E">
        <w:rPr>
          <w:rFonts w:ascii="Times New Roman" w:hAnsi="Times New Roman" w:cs="Times New Roman"/>
        </w:rPr>
        <w:t>GoM</w:t>
      </w:r>
      <w:proofErr w:type="spellEnd"/>
      <w:r w:rsidRPr="0043231E">
        <w:rPr>
          <w:rFonts w:ascii="Times New Roman" w:hAnsi="Times New Roman" w:cs="Times New Roman"/>
        </w:rPr>
        <w:t xml:space="preserve"> on how best to structure institutional development and municipal service delivery in an integrated manner involving key stakeholders. The Regional </w:t>
      </w:r>
      <w:r w:rsidR="00BE6529">
        <w:rPr>
          <w:rFonts w:ascii="Times New Roman" w:hAnsi="Times New Roman" w:cs="Times New Roman"/>
        </w:rPr>
        <w:t>Center case study is:</w:t>
      </w:r>
    </w:p>
    <w:p w14:paraId="78CD141F" w14:textId="77777777" w:rsidR="00611A4D" w:rsidRPr="002F31C0" w:rsidRDefault="00611A4D" w:rsidP="00611A4D">
      <w:pPr>
        <w:pStyle w:val="ListParagraph"/>
        <w:spacing w:line="240" w:lineRule="auto"/>
        <w:rPr>
          <w:rFonts w:ascii="Times New Roman" w:hAnsi="Times New Roman" w:cs="Times New Roman"/>
        </w:rPr>
      </w:pPr>
    </w:p>
    <w:p w14:paraId="6E89E21E" w14:textId="77777777" w:rsidR="00611A4D" w:rsidRPr="000F28A8" w:rsidRDefault="00611A4D" w:rsidP="00611A4D">
      <w:pPr>
        <w:pStyle w:val="ListParagraph"/>
        <w:numPr>
          <w:ilvl w:val="0"/>
          <w:numId w:val="1"/>
        </w:numPr>
        <w:spacing w:line="240" w:lineRule="auto"/>
        <w:jc w:val="both"/>
        <w:rPr>
          <w:rFonts w:ascii="Times New Roman" w:hAnsi="Times New Roman" w:cs="Times New Roman"/>
        </w:rPr>
      </w:pPr>
      <w:proofErr w:type="spellStart"/>
      <w:r w:rsidRPr="002F31C0">
        <w:rPr>
          <w:rFonts w:ascii="Times New Roman" w:hAnsi="Times New Roman" w:cs="Times New Roman"/>
        </w:rPr>
        <w:t>Addu</w:t>
      </w:r>
      <w:proofErr w:type="spellEnd"/>
      <w:r w:rsidRPr="002F31C0">
        <w:rPr>
          <w:rFonts w:ascii="Times New Roman" w:hAnsi="Times New Roman" w:cs="Times New Roman"/>
        </w:rPr>
        <w:t xml:space="preserve"> </w:t>
      </w:r>
      <w:r>
        <w:rPr>
          <w:rFonts w:ascii="Times New Roman" w:hAnsi="Times New Roman" w:cs="Times New Roman"/>
        </w:rPr>
        <w:t>Atoll (R21)</w:t>
      </w:r>
      <w:r w:rsidRPr="002F31C0">
        <w:rPr>
          <w:rFonts w:ascii="Times New Roman" w:hAnsi="Times New Roman" w:cs="Times New Roman"/>
        </w:rPr>
        <w:t xml:space="preserve"> comprises around two dozen of Maldives’ estimated 1,190 coral islands and is the southernmost atoll of the country.  </w:t>
      </w:r>
      <w:proofErr w:type="spellStart"/>
      <w:r w:rsidRPr="002F31C0">
        <w:rPr>
          <w:rFonts w:ascii="Times New Roman" w:hAnsi="Times New Roman" w:cs="Times New Roman"/>
        </w:rPr>
        <w:t>Addu</w:t>
      </w:r>
      <w:proofErr w:type="spellEnd"/>
      <w:r w:rsidRPr="002F31C0">
        <w:rPr>
          <w:rFonts w:ascii="Times New Roman" w:hAnsi="Times New Roman" w:cs="Times New Roman"/>
        </w:rPr>
        <w:t xml:space="preserve"> is the second-largest population hub (approximately 33,000) in the Maldives and is a government, transport, and tourism hub.  The city has six districts:  </w:t>
      </w:r>
      <w:proofErr w:type="spellStart"/>
      <w:r w:rsidRPr="002F31C0">
        <w:rPr>
          <w:rFonts w:ascii="Times New Roman" w:hAnsi="Times New Roman" w:cs="Times New Roman"/>
        </w:rPr>
        <w:t>Hithadhoo</w:t>
      </w:r>
      <w:proofErr w:type="spellEnd"/>
      <w:r w:rsidRPr="002F31C0">
        <w:rPr>
          <w:rFonts w:ascii="Times New Roman" w:hAnsi="Times New Roman" w:cs="Times New Roman"/>
        </w:rPr>
        <w:t xml:space="preserve">, </w:t>
      </w:r>
      <w:proofErr w:type="spellStart"/>
      <w:r w:rsidRPr="002F31C0">
        <w:rPr>
          <w:rFonts w:ascii="Times New Roman" w:hAnsi="Times New Roman" w:cs="Times New Roman"/>
        </w:rPr>
        <w:t>Maradhoo-Feydhoo</w:t>
      </w:r>
      <w:proofErr w:type="spellEnd"/>
      <w:r w:rsidRPr="002F31C0">
        <w:rPr>
          <w:rFonts w:ascii="Times New Roman" w:hAnsi="Times New Roman" w:cs="Times New Roman"/>
        </w:rPr>
        <w:t xml:space="preserve">, </w:t>
      </w:r>
      <w:proofErr w:type="spellStart"/>
      <w:r w:rsidRPr="002F31C0">
        <w:rPr>
          <w:rFonts w:ascii="Times New Roman" w:hAnsi="Times New Roman" w:cs="Times New Roman"/>
        </w:rPr>
        <w:t>Maradhoo</w:t>
      </w:r>
      <w:proofErr w:type="spellEnd"/>
      <w:r w:rsidRPr="002F31C0">
        <w:rPr>
          <w:rFonts w:ascii="Times New Roman" w:hAnsi="Times New Roman" w:cs="Times New Roman"/>
        </w:rPr>
        <w:t xml:space="preserve">, </w:t>
      </w:r>
      <w:proofErr w:type="spellStart"/>
      <w:r w:rsidRPr="002F31C0">
        <w:rPr>
          <w:rFonts w:ascii="Times New Roman" w:hAnsi="Times New Roman" w:cs="Times New Roman"/>
        </w:rPr>
        <w:t>Feydhoo</w:t>
      </w:r>
      <w:proofErr w:type="spellEnd"/>
      <w:r w:rsidRPr="002F31C0">
        <w:rPr>
          <w:rFonts w:ascii="Times New Roman" w:hAnsi="Times New Roman" w:cs="Times New Roman"/>
        </w:rPr>
        <w:t xml:space="preserve">, </w:t>
      </w:r>
      <w:proofErr w:type="spellStart"/>
      <w:r w:rsidRPr="002F31C0">
        <w:rPr>
          <w:rFonts w:ascii="Times New Roman" w:hAnsi="Times New Roman" w:cs="Times New Roman"/>
        </w:rPr>
        <w:t>Hulhudhoo</w:t>
      </w:r>
      <w:proofErr w:type="spellEnd"/>
      <w:r w:rsidRPr="002F31C0">
        <w:rPr>
          <w:rFonts w:ascii="Times New Roman" w:hAnsi="Times New Roman" w:cs="Times New Roman"/>
        </w:rPr>
        <w:t xml:space="preserve">, and </w:t>
      </w:r>
      <w:proofErr w:type="spellStart"/>
      <w:r w:rsidRPr="002F31C0">
        <w:rPr>
          <w:rFonts w:ascii="Times New Roman" w:hAnsi="Times New Roman" w:cs="Times New Roman"/>
        </w:rPr>
        <w:t>Meedhoo</w:t>
      </w:r>
      <w:proofErr w:type="spellEnd"/>
      <w:r w:rsidRPr="002F31C0">
        <w:rPr>
          <w:rFonts w:ascii="Times New Roman" w:hAnsi="Times New Roman" w:cs="Times New Roman"/>
        </w:rPr>
        <w:t xml:space="preserve">.  The districts are </w:t>
      </w:r>
      <w:r w:rsidRPr="000F28A8">
        <w:rPr>
          <w:rFonts w:ascii="Times New Roman" w:hAnsi="Times New Roman" w:cs="Times New Roman"/>
        </w:rPr>
        <w:t xml:space="preserve">well-connected to each other through a link road and regular ferry service.  Home to mangroves, wetlands, and healthy coral reefs, </w:t>
      </w:r>
      <w:proofErr w:type="spellStart"/>
      <w:r w:rsidRPr="000F28A8">
        <w:rPr>
          <w:rFonts w:ascii="Times New Roman" w:hAnsi="Times New Roman" w:cs="Times New Roman"/>
        </w:rPr>
        <w:t>Addu</w:t>
      </w:r>
      <w:proofErr w:type="spellEnd"/>
      <w:r w:rsidRPr="000F28A8">
        <w:rPr>
          <w:rFonts w:ascii="Times New Roman" w:hAnsi="Times New Roman" w:cs="Times New Roman"/>
        </w:rPr>
        <w:t xml:space="preserve"> currently faces challenges related to climate resilience, service delivery, and economic development. </w:t>
      </w:r>
      <w:proofErr w:type="spellStart"/>
      <w:r w:rsidRPr="000F28A8">
        <w:rPr>
          <w:rFonts w:ascii="Times New Roman" w:hAnsi="Times New Roman" w:cs="Times New Roman"/>
        </w:rPr>
        <w:t>Addu</w:t>
      </w:r>
      <w:proofErr w:type="spellEnd"/>
      <w:r w:rsidRPr="000F28A8">
        <w:rPr>
          <w:rFonts w:ascii="Times New Roman" w:hAnsi="Times New Roman" w:cs="Times New Roman"/>
        </w:rPr>
        <w:t xml:space="preserve"> has been categorized as an upper tier Urban Center.  </w:t>
      </w:r>
      <w:proofErr w:type="spellStart"/>
      <w:r w:rsidRPr="000F28A8">
        <w:rPr>
          <w:rFonts w:ascii="Times New Roman" w:hAnsi="Times New Roman" w:cs="Times New Roman"/>
        </w:rPr>
        <w:t>Addu</w:t>
      </w:r>
      <w:proofErr w:type="spellEnd"/>
      <w:r w:rsidRPr="000F28A8">
        <w:rPr>
          <w:rFonts w:ascii="Times New Roman" w:hAnsi="Times New Roman" w:cs="Times New Roman"/>
        </w:rPr>
        <w:t xml:space="preserve"> City Council is currently in the process of updating its land use plan.</w:t>
      </w:r>
    </w:p>
    <w:p w14:paraId="3AB498A7" w14:textId="77777777" w:rsidR="00611A4D" w:rsidRPr="000F28A8" w:rsidRDefault="00611A4D" w:rsidP="00611A4D">
      <w:pPr>
        <w:pStyle w:val="ListParagraph"/>
        <w:spacing w:line="240" w:lineRule="auto"/>
        <w:rPr>
          <w:rFonts w:ascii="Times New Roman" w:hAnsi="Times New Roman" w:cs="Times New Roman"/>
        </w:rPr>
      </w:pPr>
    </w:p>
    <w:p w14:paraId="54E41001" w14:textId="4E41BE3A" w:rsidR="00611A4D" w:rsidRPr="002F31C0" w:rsidRDefault="00611A4D" w:rsidP="00611A4D">
      <w:pPr>
        <w:pStyle w:val="ListParagraph"/>
        <w:numPr>
          <w:ilvl w:val="0"/>
          <w:numId w:val="1"/>
        </w:numPr>
        <w:spacing w:line="240" w:lineRule="auto"/>
        <w:jc w:val="both"/>
        <w:rPr>
          <w:rFonts w:ascii="Times New Roman" w:hAnsi="Times New Roman" w:cs="Times New Roman"/>
        </w:rPr>
      </w:pPr>
      <w:r w:rsidRPr="002F31C0">
        <w:rPr>
          <w:rFonts w:ascii="Times New Roman" w:hAnsi="Times New Roman" w:cs="Times New Roman"/>
        </w:rPr>
        <w:t xml:space="preserve">The objectives of MUDRP are to enhance resilient urban services in selected cities in Maldives and strengthen the Government’s capacity to provide effective response to disasters.  The proposed project will target strategic service delivery investments in Greater </w:t>
      </w:r>
      <w:proofErr w:type="spellStart"/>
      <w:r w:rsidRPr="002F31C0">
        <w:rPr>
          <w:rFonts w:ascii="Times New Roman" w:hAnsi="Times New Roman" w:cs="Times New Roman"/>
        </w:rPr>
        <w:t>Mal</w:t>
      </w:r>
      <w:r w:rsidR="00FE1D05">
        <w:rPr>
          <w:rFonts w:ascii="Times New Roman" w:hAnsi="Times New Roman" w:cs="Times New Roman"/>
        </w:rPr>
        <w:t>é</w:t>
      </w:r>
      <w:proofErr w:type="spellEnd"/>
      <w:r w:rsidRPr="002F31C0">
        <w:rPr>
          <w:rFonts w:ascii="Times New Roman" w:hAnsi="Times New Roman" w:cs="Times New Roman"/>
        </w:rPr>
        <w:t xml:space="preserve"> and technical assistance for </w:t>
      </w:r>
      <w:proofErr w:type="spellStart"/>
      <w:r w:rsidRPr="002F31C0">
        <w:rPr>
          <w:rFonts w:ascii="Times New Roman" w:hAnsi="Times New Roman" w:cs="Times New Roman"/>
        </w:rPr>
        <w:t>Addu</w:t>
      </w:r>
      <w:proofErr w:type="spellEnd"/>
      <w:r w:rsidRPr="002F31C0">
        <w:rPr>
          <w:rFonts w:ascii="Times New Roman" w:hAnsi="Times New Roman" w:cs="Times New Roman"/>
        </w:rPr>
        <w:t xml:space="preserve"> and the country.  The project comprises of three components:  Component 1, encompassing resilient infrastructure and emergency preparedness; Component 2, which focuses on sustainable urban planning, development, and management; Component 3, which provides implementation support; and Component 4, which provides a contingent response in case of emergency.  Details of the MUDRP Components are attached in Annex 1.</w:t>
      </w:r>
    </w:p>
    <w:p w14:paraId="4C46DDC4" w14:textId="77777777" w:rsidR="00611A4D" w:rsidRPr="002F31C0" w:rsidRDefault="00611A4D" w:rsidP="00611A4D">
      <w:pPr>
        <w:pStyle w:val="ListParagraph"/>
        <w:spacing w:line="240" w:lineRule="auto"/>
        <w:rPr>
          <w:rFonts w:ascii="Times New Roman" w:hAnsi="Times New Roman" w:cs="Times New Roman"/>
        </w:rPr>
      </w:pPr>
    </w:p>
    <w:p w14:paraId="55B67527" w14:textId="459AC45A" w:rsidR="00611A4D" w:rsidRDefault="00611A4D" w:rsidP="00611A4D">
      <w:pPr>
        <w:pStyle w:val="ListParagraph"/>
        <w:numPr>
          <w:ilvl w:val="0"/>
          <w:numId w:val="1"/>
        </w:numPr>
        <w:spacing w:line="240" w:lineRule="auto"/>
        <w:jc w:val="both"/>
        <w:rPr>
          <w:rFonts w:ascii="Times New Roman" w:hAnsi="Times New Roman" w:cs="Times New Roman"/>
        </w:rPr>
      </w:pPr>
      <w:r w:rsidRPr="002F31C0">
        <w:rPr>
          <w:rFonts w:ascii="Times New Roman" w:hAnsi="Times New Roman" w:cs="Times New Roman"/>
        </w:rPr>
        <w:t>The scope of this consultancy has been designed to provide direct support to: (</w:t>
      </w:r>
      <w:proofErr w:type="spellStart"/>
      <w:r w:rsidRPr="002F31C0">
        <w:rPr>
          <w:rFonts w:ascii="Times New Roman" w:hAnsi="Times New Roman" w:cs="Times New Roman"/>
        </w:rPr>
        <w:t>i</w:t>
      </w:r>
      <w:proofErr w:type="spellEnd"/>
      <w:r w:rsidRPr="002F31C0">
        <w:rPr>
          <w:rFonts w:ascii="Times New Roman" w:hAnsi="Times New Roman" w:cs="Times New Roman"/>
        </w:rPr>
        <w:t xml:space="preserve">) assessment of the NSP and newly updated </w:t>
      </w:r>
      <w:proofErr w:type="spellStart"/>
      <w:r w:rsidRPr="002F31C0">
        <w:rPr>
          <w:rFonts w:ascii="Times New Roman" w:hAnsi="Times New Roman" w:cs="Times New Roman"/>
        </w:rPr>
        <w:t>Addu</w:t>
      </w:r>
      <w:proofErr w:type="spellEnd"/>
      <w:r w:rsidRPr="002F31C0">
        <w:rPr>
          <w:rFonts w:ascii="Times New Roman" w:hAnsi="Times New Roman" w:cs="Times New Roman"/>
        </w:rPr>
        <w:t xml:space="preserve"> City Sustainable Urban Development </w:t>
      </w:r>
      <w:proofErr w:type="spellStart"/>
      <w:r w:rsidRPr="002F31C0">
        <w:rPr>
          <w:rFonts w:ascii="Times New Roman" w:hAnsi="Times New Roman" w:cs="Times New Roman"/>
        </w:rPr>
        <w:t>Masterplan</w:t>
      </w:r>
      <w:proofErr w:type="spellEnd"/>
      <w:r w:rsidRPr="002F31C0">
        <w:rPr>
          <w:rFonts w:ascii="Times New Roman" w:hAnsi="Times New Roman" w:cs="Times New Roman"/>
        </w:rPr>
        <w:t xml:space="preserve"> (SUDMP); (ii) creation of urban design guidelines and local development plans </w:t>
      </w:r>
      <w:r>
        <w:rPr>
          <w:rFonts w:ascii="Times New Roman" w:hAnsi="Times New Roman" w:cs="Times New Roman"/>
        </w:rPr>
        <w:t xml:space="preserve">for the </w:t>
      </w:r>
      <w:r w:rsidR="006E17FD">
        <w:rPr>
          <w:rFonts w:ascii="Times New Roman" w:hAnsi="Times New Roman" w:cs="Times New Roman"/>
        </w:rPr>
        <w:t>Region</w:t>
      </w:r>
      <w:r w:rsidRPr="002F31C0">
        <w:rPr>
          <w:rFonts w:ascii="Times New Roman" w:hAnsi="Times New Roman" w:cs="Times New Roman"/>
        </w:rPr>
        <w:t>; and (iii) capacity building support for Project Partner Agencies (PPAs), in particular the Ministry of National Planning and Infrastructure (MNPI) to plan and design regional development plans under Component 2 of MUDRP. The development of the guidelines and local development plans must be integrated with the activities being carried out under MUDRP</w:t>
      </w:r>
      <w:r>
        <w:rPr>
          <w:rFonts w:ascii="Times New Roman" w:hAnsi="Times New Roman" w:cs="Times New Roman"/>
        </w:rPr>
        <w:t xml:space="preserve">, </w:t>
      </w:r>
      <w:r w:rsidRPr="002F31C0">
        <w:rPr>
          <w:rFonts w:ascii="Times New Roman" w:hAnsi="Times New Roman" w:cs="Times New Roman"/>
        </w:rPr>
        <w:t>MNPI</w:t>
      </w:r>
      <w:r>
        <w:rPr>
          <w:rFonts w:ascii="Times New Roman" w:hAnsi="Times New Roman" w:cs="Times New Roman"/>
        </w:rPr>
        <w:t xml:space="preserve">, </w:t>
      </w:r>
      <w:r w:rsidR="00836943">
        <w:rPr>
          <w:rFonts w:ascii="Times New Roman" w:hAnsi="Times New Roman" w:cs="Times New Roman"/>
        </w:rPr>
        <w:t xml:space="preserve">NSP, </w:t>
      </w:r>
      <w:r>
        <w:rPr>
          <w:rFonts w:ascii="Times New Roman" w:hAnsi="Times New Roman" w:cs="Times New Roman"/>
        </w:rPr>
        <w:t>and the local City Council</w:t>
      </w:r>
      <w:r w:rsidRPr="002F31C0">
        <w:rPr>
          <w:rFonts w:ascii="Times New Roman" w:hAnsi="Times New Roman" w:cs="Times New Roman"/>
        </w:rPr>
        <w:t xml:space="preserve">.  </w:t>
      </w:r>
    </w:p>
    <w:p w14:paraId="0608A152" w14:textId="77777777" w:rsidR="00611A4D" w:rsidRPr="002F31C0" w:rsidRDefault="00611A4D" w:rsidP="00611A4D">
      <w:pPr>
        <w:spacing w:line="240" w:lineRule="auto"/>
        <w:jc w:val="both"/>
        <w:rPr>
          <w:rFonts w:ascii="Times New Roman" w:hAnsi="Times New Roman" w:cs="Times New Roman"/>
          <w:b/>
        </w:rPr>
      </w:pPr>
      <w:r w:rsidRPr="002F31C0">
        <w:rPr>
          <w:rFonts w:ascii="Times New Roman" w:hAnsi="Times New Roman" w:cs="Times New Roman"/>
          <w:b/>
        </w:rPr>
        <w:t>Objectives</w:t>
      </w:r>
    </w:p>
    <w:p w14:paraId="14217AF1" w14:textId="3F679884" w:rsidR="00611A4D" w:rsidRPr="002F31C0" w:rsidRDefault="00611A4D" w:rsidP="005D2F01">
      <w:pPr>
        <w:pStyle w:val="ListParagraph"/>
        <w:numPr>
          <w:ilvl w:val="0"/>
          <w:numId w:val="28"/>
        </w:numPr>
        <w:spacing w:line="240" w:lineRule="auto"/>
        <w:jc w:val="both"/>
        <w:rPr>
          <w:rFonts w:ascii="Times New Roman" w:hAnsi="Times New Roman" w:cs="Times New Roman"/>
          <w:b/>
        </w:rPr>
      </w:pPr>
      <w:r w:rsidRPr="002F31C0">
        <w:rPr>
          <w:rFonts w:ascii="Times New Roman" w:hAnsi="Times New Roman" w:cs="Times New Roman"/>
        </w:rPr>
        <w:t xml:space="preserve">The overall objective of this consultancy is to prepare an assessment of the NSP’s infrastructure implementation to guide the orderly physical and sustainable development of the </w:t>
      </w:r>
      <w:proofErr w:type="spellStart"/>
      <w:r w:rsidRPr="002F31C0">
        <w:rPr>
          <w:rFonts w:ascii="Times New Roman" w:hAnsi="Times New Roman" w:cs="Times New Roman"/>
        </w:rPr>
        <w:t>Addu</w:t>
      </w:r>
      <w:proofErr w:type="spellEnd"/>
      <w:r w:rsidR="00BE6529">
        <w:rPr>
          <w:rFonts w:ascii="Times New Roman" w:hAnsi="Times New Roman" w:cs="Times New Roman"/>
        </w:rPr>
        <w:t xml:space="preserve"> </w:t>
      </w:r>
      <w:r w:rsidRPr="002F31C0">
        <w:rPr>
          <w:rFonts w:ascii="Times New Roman" w:hAnsi="Times New Roman" w:cs="Times New Roman"/>
        </w:rPr>
        <w:t>Region</w:t>
      </w:r>
      <w:r>
        <w:rPr>
          <w:rFonts w:ascii="Times New Roman" w:hAnsi="Times New Roman" w:cs="Times New Roman"/>
        </w:rPr>
        <w:t xml:space="preserve"> in line with the NSP and any local land use and master planning plans and policies</w:t>
      </w:r>
      <w:r w:rsidRPr="002F31C0">
        <w:rPr>
          <w:rFonts w:ascii="Times New Roman" w:hAnsi="Times New Roman" w:cs="Times New Roman"/>
        </w:rPr>
        <w:t xml:space="preserve">. This assessment and local development plans will encapsulate the key development strategies to achieve significant urban transformation to support economic growth and enhance livability in </w:t>
      </w:r>
      <w:r>
        <w:rPr>
          <w:rFonts w:ascii="Times New Roman" w:hAnsi="Times New Roman" w:cs="Times New Roman"/>
        </w:rPr>
        <w:t>the Regions and provide a case study and roadmap in the implementation of the NSP</w:t>
      </w:r>
      <w:r w:rsidRPr="002F31C0">
        <w:rPr>
          <w:rFonts w:ascii="Times New Roman" w:hAnsi="Times New Roman" w:cs="Times New Roman"/>
        </w:rPr>
        <w:t xml:space="preserve">.  The consultancy shall support the technical assistance and capacity building activities under MUDRP, the ongoing land use plan initiatives by </w:t>
      </w:r>
      <w:proofErr w:type="spellStart"/>
      <w:r w:rsidRPr="002F31C0">
        <w:rPr>
          <w:rFonts w:ascii="Times New Roman" w:hAnsi="Times New Roman" w:cs="Times New Roman"/>
        </w:rPr>
        <w:t>Addu</w:t>
      </w:r>
      <w:proofErr w:type="spellEnd"/>
      <w:r w:rsidRPr="002F31C0">
        <w:rPr>
          <w:rFonts w:ascii="Times New Roman" w:hAnsi="Times New Roman" w:cs="Times New Roman"/>
        </w:rPr>
        <w:t xml:space="preserve"> City Council, and MNPI’s regional development vision.  These activities will be carried out in close consultation with key stakeholders through a highly participatory process.</w:t>
      </w:r>
    </w:p>
    <w:p w14:paraId="63763336" w14:textId="77777777" w:rsidR="00611A4D" w:rsidRPr="002F31C0" w:rsidRDefault="00611A4D" w:rsidP="00611A4D">
      <w:pPr>
        <w:pStyle w:val="ListParagraph"/>
        <w:spacing w:line="240" w:lineRule="auto"/>
        <w:jc w:val="both"/>
        <w:rPr>
          <w:rFonts w:ascii="Times New Roman" w:hAnsi="Times New Roman" w:cs="Times New Roman"/>
          <w:b/>
        </w:rPr>
      </w:pPr>
    </w:p>
    <w:p w14:paraId="48977948" w14:textId="75ABC63A" w:rsidR="00611A4D" w:rsidRPr="00F658CA" w:rsidRDefault="00611A4D" w:rsidP="003A1C8B">
      <w:pPr>
        <w:pStyle w:val="ListParagraph"/>
        <w:numPr>
          <w:ilvl w:val="0"/>
          <w:numId w:val="28"/>
        </w:numPr>
        <w:spacing w:line="240" w:lineRule="auto"/>
        <w:jc w:val="both"/>
        <w:rPr>
          <w:rFonts w:ascii="Times New Roman" w:hAnsi="Times New Roman" w:cs="Times New Roman"/>
          <w:b/>
        </w:rPr>
      </w:pPr>
      <w:r w:rsidRPr="002F31C0">
        <w:rPr>
          <w:rFonts w:ascii="Times New Roman" w:hAnsi="Times New Roman" w:cs="Times New Roman"/>
        </w:rPr>
        <w:t>The specific objectives of this consultancy can be grouped into 4 broad components: (</w:t>
      </w:r>
      <w:proofErr w:type="spellStart"/>
      <w:r w:rsidRPr="002F31C0">
        <w:rPr>
          <w:rFonts w:ascii="Times New Roman" w:hAnsi="Times New Roman" w:cs="Times New Roman"/>
        </w:rPr>
        <w:t>i</w:t>
      </w:r>
      <w:proofErr w:type="spellEnd"/>
      <w:r w:rsidRPr="002F31C0">
        <w:rPr>
          <w:rFonts w:ascii="Times New Roman" w:hAnsi="Times New Roman" w:cs="Times New Roman"/>
        </w:rPr>
        <w:t>) to review the infrastructure</w:t>
      </w:r>
      <w:r>
        <w:rPr>
          <w:rFonts w:ascii="Times New Roman" w:hAnsi="Times New Roman" w:cs="Times New Roman"/>
        </w:rPr>
        <w:t xml:space="preserve"> and services requirements of the</w:t>
      </w:r>
      <w:r w:rsidRPr="002F31C0">
        <w:rPr>
          <w:rFonts w:ascii="Times New Roman" w:hAnsi="Times New Roman" w:cs="Times New Roman"/>
        </w:rPr>
        <w:t xml:space="preserve"> NSP with MNPI and </w:t>
      </w:r>
      <w:r>
        <w:rPr>
          <w:rFonts w:ascii="Times New Roman" w:hAnsi="Times New Roman" w:cs="Times New Roman"/>
        </w:rPr>
        <w:t>their</w:t>
      </w:r>
      <w:r w:rsidRPr="002F31C0">
        <w:rPr>
          <w:rFonts w:ascii="Times New Roman" w:hAnsi="Times New Roman" w:cs="Times New Roman"/>
        </w:rPr>
        <w:t xml:space="preserve"> impact on </w:t>
      </w:r>
      <w:proofErr w:type="spellStart"/>
      <w:r w:rsidRPr="002F31C0">
        <w:rPr>
          <w:rFonts w:ascii="Times New Roman" w:hAnsi="Times New Roman" w:cs="Times New Roman"/>
        </w:rPr>
        <w:t>Addu</w:t>
      </w:r>
      <w:proofErr w:type="spellEnd"/>
      <w:r w:rsidRPr="002F31C0">
        <w:rPr>
          <w:rFonts w:ascii="Times New Roman" w:hAnsi="Times New Roman" w:cs="Times New Roman"/>
        </w:rPr>
        <w:t>;</w:t>
      </w:r>
      <w:r>
        <w:rPr>
          <w:rFonts w:ascii="Times New Roman" w:hAnsi="Times New Roman" w:cs="Times New Roman"/>
        </w:rPr>
        <w:t xml:space="preserve"> (ii) to design conceptual </w:t>
      </w:r>
      <w:proofErr w:type="spellStart"/>
      <w:r>
        <w:rPr>
          <w:rFonts w:ascii="Times New Roman" w:hAnsi="Times New Roman" w:cs="Times New Roman"/>
        </w:rPr>
        <w:t>masterplans</w:t>
      </w:r>
      <w:proofErr w:type="spellEnd"/>
      <w:r>
        <w:rPr>
          <w:rFonts w:ascii="Times New Roman" w:hAnsi="Times New Roman" w:cs="Times New Roman"/>
        </w:rPr>
        <w:t xml:space="preserve"> based on the NSP service allocations;</w:t>
      </w:r>
      <w:r w:rsidRPr="002F31C0">
        <w:rPr>
          <w:rFonts w:ascii="Times New Roman" w:hAnsi="Times New Roman" w:cs="Times New Roman"/>
        </w:rPr>
        <w:t xml:space="preserve"> (i</w:t>
      </w:r>
      <w:r>
        <w:rPr>
          <w:rFonts w:ascii="Times New Roman" w:hAnsi="Times New Roman" w:cs="Times New Roman"/>
        </w:rPr>
        <w:t>i</w:t>
      </w:r>
      <w:r w:rsidRPr="002F31C0">
        <w:rPr>
          <w:rFonts w:ascii="Times New Roman" w:hAnsi="Times New Roman" w:cs="Times New Roman"/>
        </w:rPr>
        <w:t xml:space="preserve">i) to develop </w:t>
      </w:r>
      <w:proofErr w:type="gramStart"/>
      <w:r w:rsidRPr="002F31C0">
        <w:rPr>
          <w:rFonts w:ascii="Times New Roman" w:hAnsi="Times New Roman" w:cs="Times New Roman"/>
        </w:rPr>
        <w:t>detailed  local</w:t>
      </w:r>
      <w:proofErr w:type="gramEnd"/>
      <w:r w:rsidRPr="002F31C0">
        <w:rPr>
          <w:rFonts w:ascii="Times New Roman" w:hAnsi="Times New Roman" w:cs="Times New Roman"/>
        </w:rPr>
        <w:t xml:space="preserve"> development plans for key districts </w:t>
      </w:r>
      <w:r w:rsidR="00BE6529">
        <w:rPr>
          <w:rFonts w:ascii="Times New Roman" w:hAnsi="Times New Roman" w:cs="Times New Roman"/>
        </w:rPr>
        <w:t>in the Region</w:t>
      </w:r>
      <w:r w:rsidRPr="002F31C0">
        <w:rPr>
          <w:rFonts w:ascii="Times New Roman" w:hAnsi="Times New Roman" w:cs="Times New Roman"/>
        </w:rPr>
        <w:t>; and (i</w:t>
      </w:r>
      <w:r>
        <w:rPr>
          <w:rFonts w:ascii="Times New Roman" w:hAnsi="Times New Roman" w:cs="Times New Roman"/>
        </w:rPr>
        <w:t>v</w:t>
      </w:r>
      <w:r w:rsidRPr="002F31C0">
        <w:rPr>
          <w:rFonts w:ascii="Times New Roman" w:hAnsi="Times New Roman" w:cs="Times New Roman"/>
        </w:rPr>
        <w:t>) to develop and implement a communications strategy, stakeholder engagement plan, and capacity building activities.</w:t>
      </w:r>
    </w:p>
    <w:p w14:paraId="6754E982" w14:textId="77777777" w:rsidR="00F658CA" w:rsidRPr="00F658CA" w:rsidRDefault="00F658CA" w:rsidP="00F658CA">
      <w:pPr>
        <w:pStyle w:val="ListParagraph"/>
        <w:rPr>
          <w:rFonts w:ascii="Times New Roman" w:hAnsi="Times New Roman" w:cs="Times New Roman"/>
          <w:b/>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2160"/>
        <w:gridCol w:w="630"/>
        <w:gridCol w:w="1530"/>
        <w:gridCol w:w="1170"/>
        <w:gridCol w:w="450"/>
        <w:gridCol w:w="1800"/>
        <w:gridCol w:w="270"/>
      </w:tblGrid>
      <w:tr w:rsidR="00611A4D" w:rsidRPr="002F31C0" w14:paraId="01397E02" w14:textId="77777777" w:rsidTr="009A763F">
        <w:tc>
          <w:tcPr>
            <w:tcW w:w="1458" w:type="dxa"/>
            <w:tcBorders>
              <w:top w:val="dashed" w:sz="4" w:space="0" w:color="auto"/>
              <w:left w:val="dashed" w:sz="4" w:space="0" w:color="auto"/>
            </w:tcBorders>
          </w:tcPr>
          <w:p w14:paraId="0E020E8A" w14:textId="77777777" w:rsidR="00611A4D" w:rsidRPr="002F31C0" w:rsidRDefault="00611A4D" w:rsidP="009A763F">
            <w:pPr>
              <w:jc w:val="center"/>
              <w:rPr>
                <w:rStyle w:val="Strong"/>
                <w:rFonts w:eastAsiaTheme="majorEastAsia"/>
                <w:sz w:val="22"/>
                <w:szCs w:val="22"/>
              </w:rPr>
            </w:pPr>
          </w:p>
        </w:tc>
        <w:tc>
          <w:tcPr>
            <w:tcW w:w="4320" w:type="dxa"/>
            <w:gridSpan w:val="3"/>
            <w:tcBorders>
              <w:top w:val="dashed" w:sz="4" w:space="0" w:color="auto"/>
              <w:bottom w:val="single" w:sz="4" w:space="0" w:color="auto"/>
            </w:tcBorders>
            <w:vAlign w:val="center"/>
          </w:tcPr>
          <w:p w14:paraId="7FF4701D" w14:textId="77777777" w:rsidR="00611A4D" w:rsidRPr="002F31C0" w:rsidRDefault="00611A4D" w:rsidP="009A763F">
            <w:pPr>
              <w:jc w:val="center"/>
              <w:rPr>
                <w:rStyle w:val="Emphasis"/>
                <w:i w:val="0"/>
                <w:sz w:val="22"/>
                <w:szCs w:val="22"/>
              </w:rPr>
            </w:pPr>
          </w:p>
        </w:tc>
        <w:tc>
          <w:tcPr>
            <w:tcW w:w="1170" w:type="dxa"/>
            <w:tcBorders>
              <w:top w:val="dashed" w:sz="4" w:space="0" w:color="auto"/>
              <w:bottom w:val="single" w:sz="4" w:space="0" w:color="auto"/>
            </w:tcBorders>
          </w:tcPr>
          <w:p w14:paraId="5F7DFA46" w14:textId="77777777" w:rsidR="00611A4D" w:rsidRPr="002F31C0" w:rsidRDefault="00611A4D" w:rsidP="009A763F">
            <w:pPr>
              <w:rPr>
                <w:rStyle w:val="Emphasis"/>
                <w:sz w:val="22"/>
                <w:szCs w:val="22"/>
              </w:rPr>
            </w:pPr>
          </w:p>
        </w:tc>
        <w:tc>
          <w:tcPr>
            <w:tcW w:w="450" w:type="dxa"/>
            <w:tcBorders>
              <w:top w:val="dashed" w:sz="4" w:space="0" w:color="auto"/>
            </w:tcBorders>
          </w:tcPr>
          <w:p w14:paraId="7EF74570" w14:textId="77777777" w:rsidR="00611A4D" w:rsidRPr="002F31C0" w:rsidRDefault="00611A4D" w:rsidP="009A763F">
            <w:pPr>
              <w:jc w:val="center"/>
              <w:rPr>
                <w:rStyle w:val="Emphasis"/>
                <w:sz w:val="22"/>
                <w:szCs w:val="22"/>
              </w:rPr>
            </w:pPr>
          </w:p>
        </w:tc>
        <w:tc>
          <w:tcPr>
            <w:tcW w:w="1800" w:type="dxa"/>
            <w:tcBorders>
              <w:top w:val="dashed" w:sz="4" w:space="0" w:color="auto"/>
              <w:bottom w:val="single" w:sz="4" w:space="0" w:color="000000"/>
            </w:tcBorders>
            <w:vAlign w:val="center"/>
          </w:tcPr>
          <w:p w14:paraId="6F2FDD1C" w14:textId="77777777" w:rsidR="00611A4D" w:rsidRPr="002F31C0" w:rsidRDefault="00611A4D" w:rsidP="009A763F">
            <w:pPr>
              <w:jc w:val="center"/>
              <w:rPr>
                <w:rStyle w:val="Emphasis"/>
                <w:sz w:val="22"/>
                <w:szCs w:val="22"/>
              </w:rPr>
            </w:pPr>
          </w:p>
        </w:tc>
        <w:tc>
          <w:tcPr>
            <w:tcW w:w="270" w:type="dxa"/>
            <w:tcBorders>
              <w:top w:val="dashed" w:sz="4" w:space="0" w:color="auto"/>
              <w:right w:val="dashed" w:sz="4" w:space="0" w:color="auto"/>
            </w:tcBorders>
          </w:tcPr>
          <w:p w14:paraId="1A426C17" w14:textId="77777777" w:rsidR="00611A4D" w:rsidRPr="002F31C0" w:rsidRDefault="00611A4D" w:rsidP="009A763F">
            <w:pPr>
              <w:jc w:val="center"/>
              <w:rPr>
                <w:rStyle w:val="Emphasis"/>
                <w:sz w:val="22"/>
                <w:szCs w:val="22"/>
              </w:rPr>
            </w:pPr>
          </w:p>
        </w:tc>
      </w:tr>
      <w:tr w:rsidR="00611A4D" w:rsidRPr="002F31C0" w14:paraId="432CC24D" w14:textId="77777777" w:rsidTr="009A763F">
        <w:tc>
          <w:tcPr>
            <w:tcW w:w="1458" w:type="dxa"/>
            <w:tcBorders>
              <w:left w:val="dashed" w:sz="4" w:space="0" w:color="auto"/>
              <w:right w:val="single" w:sz="4" w:space="0" w:color="auto"/>
            </w:tcBorders>
          </w:tcPr>
          <w:p w14:paraId="15A3C96D" w14:textId="77777777" w:rsidR="00611A4D" w:rsidRPr="002F31C0" w:rsidRDefault="00611A4D" w:rsidP="009A763F">
            <w:pPr>
              <w:autoSpaceDE w:val="0"/>
              <w:autoSpaceDN w:val="0"/>
              <w:adjustRightInd w:val="0"/>
              <w:jc w:val="center"/>
              <w:rPr>
                <w:rStyle w:val="Strong"/>
                <w:rFonts w:eastAsiaTheme="majorEastAsia"/>
                <w:sz w:val="22"/>
                <w:szCs w:val="22"/>
              </w:rPr>
            </w:pPr>
          </w:p>
        </w:tc>
        <w:tc>
          <w:tcPr>
            <w:tcW w:w="5490" w:type="dxa"/>
            <w:gridSpan w:val="4"/>
            <w:tcBorders>
              <w:top w:val="single" w:sz="4" w:space="0" w:color="auto"/>
              <w:left w:val="single" w:sz="4" w:space="0" w:color="auto"/>
              <w:bottom w:val="single" w:sz="4" w:space="0" w:color="auto"/>
              <w:right w:val="single" w:sz="4" w:space="0" w:color="auto"/>
            </w:tcBorders>
            <w:vAlign w:val="center"/>
          </w:tcPr>
          <w:p w14:paraId="47732501" w14:textId="3A0631AA" w:rsidR="00611A4D" w:rsidRPr="002F31C0" w:rsidRDefault="00611A4D" w:rsidP="003A1C8B">
            <w:pPr>
              <w:rPr>
                <w:rStyle w:val="Emphasis"/>
                <w:sz w:val="22"/>
                <w:szCs w:val="22"/>
              </w:rPr>
            </w:pPr>
            <w:r w:rsidRPr="002F31C0">
              <w:rPr>
                <w:rStyle w:val="Strong"/>
                <w:rFonts w:eastAsiaTheme="majorEastAsia"/>
                <w:sz w:val="22"/>
                <w:szCs w:val="22"/>
              </w:rPr>
              <w:t>(</w:t>
            </w:r>
            <w:proofErr w:type="spellStart"/>
            <w:r w:rsidRPr="002F31C0">
              <w:rPr>
                <w:rStyle w:val="Strong"/>
                <w:rFonts w:eastAsiaTheme="majorEastAsia"/>
                <w:sz w:val="22"/>
                <w:szCs w:val="22"/>
              </w:rPr>
              <w:t>i</w:t>
            </w:r>
            <w:proofErr w:type="spellEnd"/>
            <w:r w:rsidRPr="002F31C0">
              <w:rPr>
                <w:rStyle w:val="Strong"/>
                <w:rFonts w:eastAsiaTheme="majorEastAsia"/>
                <w:sz w:val="22"/>
                <w:szCs w:val="22"/>
              </w:rPr>
              <w:t xml:space="preserve">) Assessment of NSP                                          </w:t>
            </w:r>
            <w:r>
              <w:rPr>
                <w:rStyle w:val="Emphasis"/>
                <w:sz w:val="22"/>
                <w:szCs w:val="22"/>
              </w:rPr>
              <w:t>3</w:t>
            </w:r>
            <w:r w:rsidRPr="002F31C0">
              <w:rPr>
                <w:rStyle w:val="Emphasis"/>
                <w:sz w:val="22"/>
                <w:szCs w:val="22"/>
              </w:rPr>
              <w:t xml:space="preserve"> months</w:t>
            </w:r>
          </w:p>
        </w:tc>
        <w:tc>
          <w:tcPr>
            <w:tcW w:w="450" w:type="dxa"/>
            <w:tcBorders>
              <w:left w:val="single" w:sz="4" w:space="0" w:color="auto"/>
              <w:right w:val="single" w:sz="4" w:space="0" w:color="000000"/>
            </w:tcBorders>
            <w:vAlign w:val="center"/>
          </w:tcPr>
          <w:p w14:paraId="275F6481" w14:textId="77777777" w:rsidR="00611A4D" w:rsidRPr="002F31C0" w:rsidRDefault="00611A4D" w:rsidP="009A763F">
            <w:pPr>
              <w:autoSpaceDE w:val="0"/>
              <w:autoSpaceDN w:val="0"/>
              <w:adjustRightInd w:val="0"/>
              <w:jc w:val="center"/>
              <w:rPr>
                <w:rStyle w:val="Emphasis"/>
                <w:i w:val="0"/>
                <w:iCs w:val="0"/>
                <w:sz w:val="22"/>
                <w:szCs w:val="22"/>
              </w:rPr>
            </w:pPr>
            <w:r>
              <w:rPr>
                <w:noProof/>
              </w:rPr>
              <mc:AlternateContent>
                <mc:Choice Requires="wps">
                  <w:drawing>
                    <wp:anchor distT="0" distB="0" distL="114300" distR="114300" simplePos="0" relativeHeight="251659264" behindDoc="0" locked="0" layoutInCell="1" allowOverlap="1" wp14:anchorId="4491A7C5" wp14:editId="22DE14E6">
                      <wp:simplePos x="0" y="0"/>
                      <wp:positionH relativeFrom="column">
                        <wp:posOffset>-27305</wp:posOffset>
                      </wp:positionH>
                      <wp:positionV relativeFrom="paragraph">
                        <wp:posOffset>-67945</wp:posOffset>
                      </wp:positionV>
                      <wp:extent cx="323215" cy="294005"/>
                      <wp:effectExtent l="0" t="0" r="635" b="0"/>
                      <wp:wrapNone/>
                      <wp:docPr id="1" name="Arrow: Right 1"/>
                      <wp:cNvGraphicFramePr/>
                      <a:graphic xmlns:a="http://schemas.openxmlformats.org/drawingml/2006/main">
                        <a:graphicData uri="http://schemas.microsoft.com/office/word/2010/wordprocessingShape">
                          <wps:wsp>
                            <wps:cNvSpPr/>
                            <wps:spPr>
                              <a:xfrm>
                                <a:off x="0" y="0"/>
                                <a:ext cx="323215" cy="29400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1CE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15pt;margin-top:-5.35pt;width:25.4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" adj="11776" fillcolor="black [3213]" stroked="f" strokeweight="1pt"/>
                  </w:pict>
                </mc:Fallback>
              </mc:AlternateConten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14:paraId="119F6F73" w14:textId="77777777" w:rsidR="00611A4D" w:rsidRPr="002F31C0" w:rsidRDefault="00611A4D" w:rsidP="009A763F">
            <w:pPr>
              <w:jc w:val="center"/>
              <w:rPr>
                <w:rStyle w:val="Emphasis"/>
                <w:b/>
                <w:sz w:val="22"/>
                <w:szCs w:val="22"/>
              </w:rPr>
            </w:pPr>
            <w:r w:rsidRPr="002F31C0">
              <w:rPr>
                <w:rStyle w:val="Strong"/>
                <w:rFonts w:eastAsiaTheme="minorHAnsi"/>
                <w:sz w:val="22"/>
                <w:szCs w:val="22"/>
              </w:rPr>
              <w:t xml:space="preserve">Support for communications </w:t>
            </w:r>
            <w:r w:rsidRPr="002F31C0">
              <w:rPr>
                <w:rStyle w:val="Strong"/>
                <w:rFonts w:eastAsiaTheme="minorHAnsi"/>
                <w:sz w:val="22"/>
                <w:szCs w:val="22"/>
              </w:rPr>
              <w:lastRenderedPageBreak/>
              <w:t>strategy, stakeholder engagement, and capacity building activities</w:t>
            </w:r>
          </w:p>
        </w:tc>
        <w:tc>
          <w:tcPr>
            <w:tcW w:w="270" w:type="dxa"/>
            <w:tcBorders>
              <w:left w:val="single" w:sz="4" w:space="0" w:color="000000"/>
              <w:right w:val="dashed" w:sz="4" w:space="0" w:color="auto"/>
            </w:tcBorders>
          </w:tcPr>
          <w:p w14:paraId="2C83464D" w14:textId="77777777" w:rsidR="00611A4D" w:rsidRPr="002F31C0" w:rsidRDefault="00611A4D" w:rsidP="009A763F">
            <w:pPr>
              <w:jc w:val="center"/>
              <w:rPr>
                <w:rStyle w:val="Emphasis"/>
                <w:sz w:val="22"/>
                <w:szCs w:val="22"/>
              </w:rPr>
            </w:pPr>
          </w:p>
        </w:tc>
      </w:tr>
      <w:tr w:rsidR="00611A4D" w:rsidRPr="002F31C0" w14:paraId="6C746815" w14:textId="77777777" w:rsidTr="009A763F">
        <w:tc>
          <w:tcPr>
            <w:tcW w:w="1458" w:type="dxa"/>
            <w:tcBorders>
              <w:left w:val="dashed" w:sz="4" w:space="0" w:color="auto"/>
            </w:tcBorders>
          </w:tcPr>
          <w:p w14:paraId="2726E502" w14:textId="77777777" w:rsidR="00611A4D" w:rsidRPr="002F31C0" w:rsidRDefault="00611A4D" w:rsidP="009A763F">
            <w:pPr>
              <w:autoSpaceDE w:val="0"/>
              <w:autoSpaceDN w:val="0"/>
              <w:adjustRightInd w:val="0"/>
              <w:jc w:val="center"/>
              <w:rPr>
                <w:rStyle w:val="Strong"/>
                <w:rFonts w:eastAsiaTheme="majorEastAsia"/>
                <w:sz w:val="22"/>
                <w:szCs w:val="22"/>
              </w:rPr>
            </w:pPr>
          </w:p>
        </w:tc>
        <w:tc>
          <w:tcPr>
            <w:tcW w:w="5490" w:type="dxa"/>
            <w:gridSpan w:val="4"/>
            <w:tcBorders>
              <w:top w:val="single" w:sz="4" w:space="0" w:color="auto"/>
            </w:tcBorders>
            <w:vAlign w:val="center"/>
          </w:tcPr>
          <w:p w14:paraId="1A2C39D2" w14:textId="77777777" w:rsidR="00611A4D" w:rsidRPr="002F31C0" w:rsidRDefault="00611A4D" w:rsidP="009A763F">
            <w:pPr>
              <w:jc w:val="center"/>
              <w:rPr>
                <w:i/>
                <w:iCs/>
                <w:sz w:val="22"/>
                <w:szCs w:val="22"/>
              </w:rPr>
            </w:pPr>
          </w:p>
          <w:p w14:paraId="2DB2FAB1" w14:textId="77777777" w:rsidR="00611A4D" w:rsidRPr="002F31C0" w:rsidRDefault="00611A4D" w:rsidP="009A763F">
            <w:pPr>
              <w:jc w:val="center"/>
              <w:rPr>
                <w:sz w:val="22"/>
                <w:szCs w:val="22"/>
              </w:rPr>
            </w:pPr>
            <w:r w:rsidRPr="002F31C0">
              <w:rPr>
                <w:sz w:val="22"/>
                <w:szCs w:val="22"/>
              </w:rPr>
              <w:lastRenderedPageBreak/>
              <w:t>Review</w:t>
            </w:r>
          </w:p>
          <w:p w14:paraId="46482421" w14:textId="77777777" w:rsidR="00611A4D" w:rsidRPr="002F31C0" w:rsidRDefault="00611A4D" w:rsidP="009A763F">
            <w:pPr>
              <w:jc w:val="center"/>
              <w:rPr>
                <w:rStyle w:val="Emphasis"/>
                <w:sz w:val="22"/>
                <w:szCs w:val="22"/>
              </w:rPr>
            </w:pPr>
          </w:p>
        </w:tc>
        <w:tc>
          <w:tcPr>
            <w:tcW w:w="450" w:type="dxa"/>
            <w:tcBorders>
              <w:right w:val="single" w:sz="4" w:space="0" w:color="000000"/>
            </w:tcBorders>
          </w:tcPr>
          <w:p w14:paraId="589ED8EF" w14:textId="77777777" w:rsidR="00611A4D" w:rsidRPr="002F31C0" w:rsidRDefault="00611A4D" w:rsidP="009A763F">
            <w:pPr>
              <w:jc w:val="center"/>
              <w:rPr>
                <w:rStyle w:val="Emphasis"/>
                <w:sz w:val="22"/>
                <w:szCs w:val="22"/>
              </w:rPr>
            </w:pPr>
          </w:p>
        </w:tc>
        <w:tc>
          <w:tcPr>
            <w:tcW w:w="1800" w:type="dxa"/>
            <w:vMerge/>
            <w:tcBorders>
              <w:left w:val="single" w:sz="4" w:space="0" w:color="000000"/>
              <w:bottom w:val="single" w:sz="4" w:space="0" w:color="000000"/>
              <w:right w:val="single" w:sz="4" w:space="0" w:color="000000"/>
            </w:tcBorders>
            <w:vAlign w:val="center"/>
          </w:tcPr>
          <w:p w14:paraId="60F52595" w14:textId="77777777" w:rsidR="00611A4D" w:rsidRPr="002F31C0" w:rsidRDefault="00611A4D" w:rsidP="009A763F">
            <w:pPr>
              <w:jc w:val="center"/>
              <w:rPr>
                <w:rStyle w:val="Emphasis"/>
                <w:sz w:val="22"/>
                <w:szCs w:val="22"/>
              </w:rPr>
            </w:pPr>
          </w:p>
        </w:tc>
        <w:tc>
          <w:tcPr>
            <w:tcW w:w="270" w:type="dxa"/>
            <w:tcBorders>
              <w:left w:val="single" w:sz="4" w:space="0" w:color="000000"/>
              <w:right w:val="dashed" w:sz="4" w:space="0" w:color="auto"/>
            </w:tcBorders>
          </w:tcPr>
          <w:p w14:paraId="37AFC063" w14:textId="77777777" w:rsidR="00611A4D" w:rsidRPr="002F31C0" w:rsidRDefault="00611A4D" w:rsidP="009A763F">
            <w:pPr>
              <w:jc w:val="center"/>
              <w:rPr>
                <w:rStyle w:val="Emphasis"/>
                <w:sz w:val="22"/>
                <w:szCs w:val="22"/>
              </w:rPr>
            </w:pPr>
          </w:p>
        </w:tc>
      </w:tr>
      <w:tr w:rsidR="00611A4D" w:rsidRPr="002F31C0" w14:paraId="1D56DAD3" w14:textId="77777777" w:rsidTr="009A763F">
        <w:tc>
          <w:tcPr>
            <w:tcW w:w="1458" w:type="dxa"/>
            <w:tcBorders>
              <w:left w:val="dashed" w:sz="4" w:space="0" w:color="auto"/>
            </w:tcBorders>
          </w:tcPr>
          <w:p w14:paraId="48C9F0D4" w14:textId="77777777" w:rsidR="00611A4D" w:rsidRPr="002F31C0" w:rsidRDefault="00611A4D" w:rsidP="009A763F">
            <w:pPr>
              <w:jc w:val="center"/>
              <w:rPr>
                <w:rStyle w:val="Emphasis"/>
                <w:sz w:val="22"/>
                <w:szCs w:val="22"/>
              </w:rPr>
            </w:pPr>
          </w:p>
        </w:tc>
        <w:tc>
          <w:tcPr>
            <w:tcW w:w="5490" w:type="dxa"/>
            <w:gridSpan w:val="4"/>
            <w:tcBorders>
              <w:bottom w:val="single" w:sz="4" w:space="0" w:color="000000"/>
            </w:tcBorders>
            <w:vAlign w:val="center"/>
          </w:tcPr>
          <w:p w14:paraId="0628D0F5" w14:textId="77777777" w:rsidR="00611A4D" w:rsidRPr="002F31C0" w:rsidRDefault="00611A4D" w:rsidP="009A763F">
            <w:pPr>
              <w:rPr>
                <w:rStyle w:val="Emphasis"/>
                <w:sz w:val="22"/>
                <w:szCs w:val="22"/>
              </w:rPr>
            </w:pPr>
          </w:p>
        </w:tc>
        <w:tc>
          <w:tcPr>
            <w:tcW w:w="450" w:type="dxa"/>
            <w:tcBorders>
              <w:right w:val="single" w:sz="4" w:space="0" w:color="000000"/>
            </w:tcBorders>
          </w:tcPr>
          <w:p w14:paraId="66E4F59B" w14:textId="77777777" w:rsidR="00611A4D" w:rsidRPr="002F31C0" w:rsidRDefault="00611A4D" w:rsidP="009A763F">
            <w:pPr>
              <w:jc w:val="center"/>
              <w:rPr>
                <w:sz w:val="22"/>
                <w:szCs w:val="22"/>
              </w:rPr>
            </w:pPr>
          </w:p>
        </w:tc>
        <w:tc>
          <w:tcPr>
            <w:tcW w:w="1800" w:type="dxa"/>
            <w:vMerge/>
            <w:tcBorders>
              <w:left w:val="single" w:sz="4" w:space="0" w:color="000000"/>
              <w:bottom w:val="single" w:sz="4" w:space="0" w:color="000000"/>
              <w:right w:val="single" w:sz="4" w:space="0" w:color="000000"/>
            </w:tcBorders>
          </w:tcPr>
          <w:p w14:paraId="78AF3AC2" w14:textId="77777777" w:rsidR="00611A4D" w:rsidRPr="002F31C0" w:rsidRDefault="00611A4D" w:rsidP="009A763F">
            <w:pPr>
              <w:jc w:val="center"/>
              <w:rPr>
                <w:sz w:val="22"/>
                <w:szCs w:val="22"/>
              </w:rPr>
            </w:pPr>
          </w:p>
        </w:tc>
        <w:tc>
          <w:tcPr>
            <w:tcW w:w="270" w:type="dxa"/>
            <w:tcBorders>
              <w:left w:val="single" w:sz="4" w:space="0" w:color="000000"/>
              <w:right w:val="dashed" w:sz="4" w:space="0" w:color="auto"/>
            </w:tcBorders>
          </w:tcPr>
          <w:p w14:paraId="756E238D" w14:textId="77777777" w:rsidR="00611A4D" w:rsidRPr="002F31C0" w:rsidRDefault="00611A4D" w:rsidP="009A763F">
            <w:pPr>
              <w:jc w:val="center"/>
              <w:rPr>
                <w:sz w:val="22"/>
                <w:szCs w:val="22"/>
              </w:rPr>
            </w:pPr>
          </w:p>
        </w:tc>
      </w:tr>
      <w:tr w:rsidR="00611A4D" w:rsidRPr="002F31C0" w14:paraId="6FD63F6D" w14:textId="77777777" w:rsidTr="009A763F">
        <w:tc>
          <w:tcPr>
            <w:tcW w:w="1458" w:type="dxa"/>
            <w:tcBorders>
              <w:left w:val="dashed" w:sz="4" w:space="0" w:color="auto"/>
              <w:right w:val="single" w:sz="4" w:space="0" w:color="000000"/>
            </w:tcBorders>
            <w:vAlign w:val="bottom"/>
          </w:tcPr>
          <w:p w14:paraId="28159B35" w14:textId="77777777" w:rsidR="00611A4D" w:rsidRPr="002F31C0" w:rsidRDefault="00611A4D" w:rsidP="009A763F">
            <w:pPr>
              <w:jc w:val="center"/>
              <w:rPr>
                <w:rStyle w:val="Emphasis"/>
                <w:sz w:val="22"/>
                <w:szCs w:val="22"/>
              </w:rPr>
            </w:pPr>
          </w:p>
        </w:tc>
        <w:tc>
          <w:tcPr>
            <w:tcW w:w="2160" w:type="dxa"/>
            <w:tcBorders>
              <w:top w:val="single" w:sz="4" w:space="0" w:color="000000"/>
              <w:left w:val="single" w:sz="4" w:space="0" w:color="000000"/>
              <w:bottom w:val="single" w:sz="4" w:space="0" w:color="000000"/>
            </w:tcBorders>
            <w:vAlign w:val="center"/>
          </w:tcPr>
          <w:p w14:paraId="5FF00FD3" w14:textId="77777777" w:rsidR="00611A4D" w:rsidRPr="002F31C0" w:rsidRDefault="00611A4D" w:rsidP="009A763F">
            <w:pPr>
              <w:rPr>
                <w:b/>
                <w:bCs/>
                <w:sz w:val="22"/>
                <w:szCs w:val="22"/>
              </w:rPr>
            </w:pPr>
            <w:r w:rsidRPr="002F31C0">
              <w:rPr>
                <w:rStyle w:val="Strong"/>
                <w:rFonts w:eastAsiaTheme="majorEastAsia"/>
                <w:sz w:val="22"/>
                <w:szCs w:val="22"/>
              </w:rPr>
              <w:t xml:space="preserve">(ii) </w:t>
            </w:r>
            <w:r>
              <w:rPr>
                <w:rStyle w:val="Strong"/>
                <w:rFonts w:eastAsiaTheme="majorEastAsia"/>
                <w:sz w:val="22"/>
                <w:szCs w:val="22"/>
              </w:rPr>
              <w:t xml:space="preserve">Conceptual Master Plans and </w:t>
            </w:r>
            <w:r w:rsidRPr="002F31C0">
              <w:rPr>
                <w:rStyle w:val="Strong"/>
                <w:rFonts w:eastAsiaTheme="majorEastAsia"/>
                <w:sz w:val="22"/>
                <w:szCs w:val="22"/>
              </w:rPr>
              <w:t xml:space="preserve">Detailed Local Development Plans and Development of Design Guidelines </w:t>
            </w:r>
          </w:p>
        </w:tc>
        <w:tc>
          <w:tcPr>
            <w:tcW w:w="2160" w:type="dxa"/>
            <w:gridSpan w:val="2"/>
            <w:tcBorders>
              <w:top w:val="single" w:sz="4" w:space="0" w:color="000000"/>
              <w:bottom w:val="single" w:sz="4" w:space="0" w:color="000000"/>
            </w:tcBorders>
            <w:vAlign w:val="center"/>
          </w:tcPr>
          <w:p w14:paraId="179C0E1C" w14:textId="09A74D4A" w:rsidR="00611A4D" w:rsidRPr="002F31C0" w:rsidRDefault="00611A4D" w:rsidP="009A763F">
            <w:pPr>
              <w:rPr>
                <w:sz w:val="22"/>
                <w:szCs w:val="22"/>
              </w:rPr>
            </w:pPr>
            <w:r w:rsidRPr="002F31C0">
              <w:rPr>
                <w:sz w:val="22"/>
                <w:szCs w:val="22"/>
              </w:rPr>
              <w:t xml:space="preserve">Key identified districts in </w:t>
            </w:r>
            <w:proofErr w:type="spellStart"/>
            <w:r w:rsidRPr="002F31C0">
              <w:rPr>
                <w:sz w:val="22"/>
                <w:szCs w:val="22"/>
              </w:rPr>
              <w:t>Addu</w:t>
            </w:r>
            <w:proofErr w:type="spellEnd"/>
          </w:p>
        </w:tc>
        <w:tc>
          <w:tcPr>
            <w:tcW w:w="1170" w:type="dxa"/>
            <w:tcBorders>
              <w:top w:val="single" w:sz="4" w:space="0" w:color="000000"/>
              <w:bottom w:val="single" w:sz="4" w:space="0" w:color="000000"/>
              <w:right w:val="single" w:sz="4" w:space="0" w:color="000000"/>
            </w:tcBorders>
            <w:vAlign w:val="center"/>
          </w:tcPr>
          <w:p w14:paraId="58D616B2" w14:textId="77777777" w:rsidR="00611A4D" w:rsidRPr="002F31C0" w:rsidRDefault="00611A4D" w:rsidP="009A763F">
            <w:pPr>
              <w:rPr>
                <w:rStyle w:val="Emphasis"/>
                <w:sz w:val="22"/>
                <w:szCs w:val="22"/>
              </w:rPr>
            </w:pPr>
            <w:r>
              <w:rPr>
                <w:rStyle w:val="Emphasis"/>
                <w:sz w:val="22"/>
                <w:szCs w:val="22"/>
              </w:rPr>
              <w:t>6</w:t>
            </w:r>
            <w:r w:rsidRPr="002F31C0">
              <w:rPr>
                <w:rStyle w:val="Emphasis"/>
                <w:sz w:val="22"/>
                <w:szCs w:val="22"/>
              </w:rPr>
              <w:t xml:space="preserve"> months</w:t>
            </w:r>
          </w:p>
        </w:tc>
        <w:tc>
          <w:tcPr>
            <w:tcW w:w="450" w:type="dxa"/>
            <w:tcBorders>
              <w:left w:val="single" w:sz="4" w:space="0" w:color="000000"/>
              <w:right w:val="single" w:sz="4" w:space="0" w:color="000000"/>
            </w:tcBorders>
          </w:tcPr>
          <w:p w14:paraId="2831924B" w14:textId="77777777" w:rsidR="00611A4D" w:rsidRPr="002F31C0" w:rsidRDefault="00611A4D" w:rsidP="009A763F">
            <w:pPr>
              <w:jc w:val="center"/>
              <w:rPr>
                <w:sz w:val="22"/>
                <w:szCs w:val="22"/>
              </w:rPr>
            </w:pPr>
            <w:r>
              <w:rPr>
                <w:noProof/>
              </w:rPr>
              <mc:AlternateContent>
                <mc:Choice Requires="wps">
                  <w:drawing>
                    <wp:anchor distT="0" distB="0" distL="114300" distR="114300" simplePos="0" relativeHeight="251660288" behindDoc="0" locked="0" layoutInCell="1" allowOverlap="1" wp14:anchorId="3CD47759" wp14:editId="3DF36939">
                      <wp:simplePos x="0" y="0"/>
                      <wp:positionH relativeFrom="column">
                        <wp:posOffset>-26035</wp:posOffset>
                      </wp:positionH>
                      <wp:positionV relativeFrom="paragraph">
                        <wp:posOffset>283845</wp:posOffset>
                      </wp:positionV>
                      <wp:extent cx="323675" cy="294005"/>
                      <wp:effectExtent l="0" t="0" r="635" b="0"/>
                      <wp:wrapNone/>
                      <wp:docPr id="2" name="Arrow: Right 2"/>
                      <wp:cNvGraphicFramePr/>
                      <a:graphic xmlns:a="http://schemas.openxmlformats.org/drawingml/2006/main">
                        <a:graphicData uri="http://schemas.microsoft.com/office/word/2010/wordprocessingShape">
                          <wps:wsp>
                            <wps:cNvSpPr/>
                            <wps:spPr>
                              <a:xfrm>
                                <a:off x="0" y="0"/>
                                <a:ext cx="323675" cy="29400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90E8C" id="Arrow: Right 2" o:spid="_x0000_s1026" type="#_x0000_t13" style="position:absolute;margin-left:-2.05pt;margin-top:22.35pt;width:25.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" adj="11790" fillcolor="black [3213]" stroked="f" strokeweight="1pt"/>
                  </w:pict>
                </mc:Fallback>
              </mc:AlternateContent>
            </w:r>
          </w:p>
        </w:tc>
        <w:tc>
          <w:tcPr>
            <w:tcW w:w="1800" w:type="dxa"/>
            <w:vMerge/>
            <w:tcBorders>
              <w:left w:val="single" w:sz="4" w:space="0" w:color="000000"/>
              <w:bottom w:val="single" w:sz="4" w:space="0" w:color="000000"/>
              <w:right w:val="single" w:sz="4" w:space="0" w:color="000000"/>
            </w:tcBorders>
          </w:tcPr>
          <w:p w14:paraId="10C602BE" w14:textId="77777777" w:rsidR="00611A4D" w:rsidRPr="002F31C0" w:rsidRDefault="00611A4D" w:rsidP="009A763F">
            <w:pPr>
              <w:jc w:val="center"/>
              <w:rPr>
                <w:sz w:val="22"/>
                <w:szCs w:val="22"/>
              </w:rPr>
            </w:pPr>
          </w:p>
        </w:tc>
        <w:tc>
          <w:tcPr>
            <w:tcW w:w="270" w:type="dxa"/>
            <w:tcBorders>
              <w:left w:val="single" w:sz="4" w:space="0" w:color="000000"/>
              <w:right w:val="dashed" w:sz="4" w:space="0" w:color="auto"/>
            </w:tcBorders>
          </w:tcPr>
          <w:p w14:paraId="1763EF0B" w14:textId="77777777" w:rsidR="00611A4D" w:rsidRPr="002F31C0" w:rsidRDefault="00611A4D" w:rsidP="009A763F">
            <w:pPr>
              <w:jc w:val="center"/>
              <w:rPr>
                <w:sz w:val="22"/>
                <w:szCs w:val="22"/>
              </w:rPr>
            </w:pPr>
          </w:p>
        </w:tc>
      </w:tr>
      <w:tr w:rsidR="00611A4D" w:rsidRPr="002F31C0" w14:paraId="2883FFBB" w14:textId="77777777" w:rsidTr="009A763F">
        <w:tc>
          <w:tcPr>
            <w:tcW w:w="1458" w:type="dxa"/>
            <w:tcBorders>
              <w:left w:val="dashed" w:sz="4" w:space="0" w:color="auto"/>
              <w:bottom w:val="dashed" w:sz="4" w:space="0" w:color="auto"/>
            </w:tcBorders>
          </w:tcPr>
          <w:p w14:paraId="094C2EEA" w14:textId="77777777" w:rsidR="00611A4D" w:rsidRPr="002F31C0" w:rsidRDefault="00611A4D" w:rsidP="009A763F">
            <w:pPr>
              <w:jc w:val="center"/>
              <w:rPr>
                <w:sz w:val="22"/>
                <w:szCs w:val="22"/>
              </w:rPr>
            </w:pPr>
          </w:p>
        </w:tc>
        <w:tc>
          <w:tcPr>
            <w:tcW w:w="5490" w:type="dxa"/>
            <w:gridSpan w:val="4"/>
            <w:tcBorders>
              <w:top w:val="single" w:sz="4" w:space="0" w:color="000000"/>
              <w:bottom w:val="dashed" w:sz="4" w:space="0" w:color="auto"/>
            </w:tcBorders>
            <w:vAlign w:val="center"/>
          </w:tcPr>
          <w:p w14:paraId="4AB0734A" w14:textId="77777777" w:rsidR="00611A4D" w:rsidRPr="002F31C0" w:rsidRDefault="00611A4D" w:rsidP="009A763F">
            <w:pPr>
              <w:jc w:val="center"/>
              <w:rPr>
                <w:i/>
                <w:iCs/>
                <w:sz w:val="22"/>
                <w:szCs w:val="22"/>
              </w:rPr>
            </w:pPr>
          </w:p>
          <w:p w14:paraId="6E43C522" w14:textId="77777777" w:rsidR="00611A4D" w:rsidRPr="002F31C0" w:rsidRDefault="00611A4D" w:rsidP="009A763F">
            <w:pPr>
              <w:jc w:val="center"/>
              <w:rPr>
                <w:sz w:val="22"/>
                <w:szCs w:val="22"/>
              </w:rPr>
            </w:pPr>
            <w:r w:rsidRPr="002F31C0">
              <w:rPr>
                <w:sz w:val="22"/>
                <w:szCs w:val="22"/>
              </w:rPr>
              <w:t>Review and Conclusion</w:t>
            </w:r>
          </w:p>
          <w:p w14:paraId="38EE8EBB" w14:textId="77777777" w:rsidR="00611A4D" w:rsidRPr="002F31C0" w:rsidRDefault="00611A4D" w:rsidP="009A763F">
            <w:pPr>
              <w:rPr>
                <w:rStyle w:val="Emphasis"/>
                <w:sz w:val="22"/>
                <w:szCs w:val="22"/>
              </w:rPr>
            </w:pPr>
          </w:p>
        </w:tc>
        <w:tc>
          <w:tcPr>
            <w:tcW w:w="450" w:type="dxa"/>
            <w:tcBorders>
              <w:bottom w:val="dashed" w:sz="4" w:space="0" w:color="auto"/>
            </w:tcBorders>
          </w:tcPr>
          <w:p w14:paraId="32E66CA2" w14:textId="77777777" w:rsidR="00611A4D" w:rsidRPr="002F31C0" w:rsidRDefault="00611A4D" w:rsidP="009A763F">
            <w:pPr>
              <w:jc w:val="center"/>
              <w:rPr>
                <w:sz w:val="22"/>
                <w:szCs w:val="22"/>
              </w:rPr>
            </w:pPr>
          </w:p>
        </w:tc>
        <w:tc>
          <w:tcPr>
            <w:tcW w:w="1800" w:type="dxa"/>
            <w:tcBorders>
              <w:top w:val="single" w:sz="4" w:space="0" w:color="000000"/>
              <w:bottom w:val="dashed" w:sz="4" w:space="0" w:color="auto"/>
            </w:tcBorders>
          </w:tcPr>
          <w:p w14:paraId="4CE24E61" w14:textId="77777777" w:rsidR="00611A4D" w:rsidRPr="002F31C0" w:rsidRDefault="00611A4D" w:rsidP="009A763F">
            <w:pPr>
              <w:jc w:val="center"/>
              <w:rPr>
                <w:sz w:val="22"/>
                <w:szCs w:val="22"/>
              </w:rPr>
            </w:pPr>
          </w:p>
        </w:tc>
        <w:tc>
          <w:tcPr>
            <w:tcW w:w="270" w:type="dxa"/>
            <w:tcBorders>
              <w:bottom w:val="dashed" w:sz="4" w:space="0" w:color="auto"/>
              <w:right w:val="dashed" w:sz="4" w:space="0" w:color="auto"/>
            </w:tcBorders>
          </w:tcPr>
          <w:p w14:paraId="20E5BCAD" w14:textId="77777777" w:rsidR="00611A4D" w:rsidRPr="002F31C0" w:rsidRDefault="00611A4D" w:rsidP="009A763F">
            <w:pPr>
              <w:jc w:val="center"/>
              <w:rPr>
                <w:sz w:val="22"/>
                <w:szCs w:val="22"/>
              </w:rPr>
            </w:pPr>
          </w:p>
        </w:tc>
      </w:tr>
      <w:tr w:rsidR="00611A4D" w:rsidRPr="002F31C0" w14:paraId="33EA629D" w14:textId="77777777" w:rsidTr="009A763F">
        <w:tc>
          <w:tcPr>
            <w:tcW w:w="1458" w:type="dxa"/>
            <w:tcBorders>
              <w:top w:val="dashed" w:sz="4" w:space="0" w:color="auto"/>
            </w:tcBorders>
          </w:tcPr>
          <w:p w14:paraId="6AF67C54" w14:textId="77777777" w:rsidR="00611A4D" w:rsidRPr="002F31C0" w:rsidRDefault="00611A4D" w:rsidP="009A763F">
            <w:pPr>
              <w:jc w:val="center"/>
              <w:rPr>
                <w:sz w:val="22"/>
                <w:szCs w:val="22"/>
              </w:rPr>
            </w:pPr>
          </w:p>
        </w:tc>
        <w:tc>
          <w:tcPr>
            <w:tcW w:w="2790" w:type="dxa"/>
            <w:gridSpan w:val="2"/>
            <w:tcBorders>
              <w:top w:val="dashed" w:sz="4" w:space="0" w:color="auto"/>
            </w:tcBorders>
          </w:tcPr>
          <w:p w14:paraId="0D0C82BA" w14:textId="77777777" w:rsidR="00611A4D" w:rsidRPr="002F31C0" w:rsidRDefault="00611A4D" w:rsidP="009A763F">
            <w:pPr>
              <w:jc w:val="center"/>
              <w:rPr>
                <w:rStyle w:val="Emphasis"/>
                <w:sz w:val="22"/>
                <w:szCs w:val="22"/>
              </w:rPr>
            </w:pPr>
            <w:r w:rsidRPr="002F31C0">
              <w:rPr>
                <w:rStyle w:val="Emphasis"/>
                <w:sz w:val="22"/>
                <w:szCs w:val="22"/>
              </w:rPr>
              <w:t>Integrate with and support MUDRP activities</w:t>
            </w:r>
          </w:p>
        </w:tc>
        <w:tc>
          <w:tcPr>
            <w:tcW w:w="2700" w:type="dxa"/>
            <w:gridSpan w:val="2"/>
            <w:tcBorders>
              <w:top w:val="dashed" w:sz="4" w:space="0" w:color="auto"/>
            </w:tcBorders>
          </w:tcPr>
          <w:p w14:paraId="33FFD5BD" w14:textId="77777777" w:rsidR="00611A4D" w:rsidRPr="002F31C0" w:rsidRDefault="00611A4D" w:rsidP="009A763F">
            <w:pPr>
              <w:jc w:val="center"/>
              <w:rPr>
                <w:rStyle w:val="Emphasis"/>
                <w:sz w:val="22"/>
                <w:szCs w:val="22"/>
              </w:rPr>
            </w:pPr>
            <w:r w:rsidRPr="002F31C0">
              <w:rPr>
                <w:rStyle w:val="Emphasis"/>
                <w:sz w:val="22"/>
                <w:szCs w:val="22"/>
              </w:rPr>
              <w:t xml:space="preserve">Deliverables used as inputs for </w:t>
            </w:r>
            <w:r>
              <w:rPr>
                <w:rStyle w:val="Emphasis"/>
                <w:sz w:val="22"/>
                <w:szCs w:val="22"/>
              </w:rPr>
              <w:t>regional centers</w:t>
            </w:r>
            <w:r w:rsidRPr="002F31C0">
              <w:rPr>
                <w:rStyle w:val="Emphasis"/>
                <w:sz w:val="22"/>
                <w:szCs w:val="22"/>
              </w:rPr>
              <w:t xml:space="preserve"> initiative</w:t>
            </w:r>
          </w:p>
        </w:tc>
        <w:tc>
          <w:tcPr>
            <w:tcW w:w="2520" w:type="dxa"/>
            <w:gridSpan w:val="3"/>
            <w:tcBorders>
              <w:top w:val="dashed" w:sz="4" w:space="0" w:color="auto"/>
            </w:tcBorders>
          </w:tcPr>
          <w:p w14:paraId="78B78807" w14:textId="77777777" w:rsidR="00611A4D" w:rsidRPr="002F31C0" w:rsidRDefault="00611A4D" w:rsidP="009A763F">
            <w:pPr>
              <w:jc w:val="center"/>
              <w:rPr>
                <w:sz w:val="22"/>
                <w:szCs w:val="22"/>
              </w:rPr>
            </w:pPr>
          </w:p>
        </w:tc>
      </w:tr>
    </w:tbl>
    <w:p w14:paraId="41D5F46E" w14:textId="77777777" w:rsidR="00611A4D" w:rsidRPr="002F31C0" w:rsidRDefault="00611A4D" w:rsidP="00611A4D">
      <w:pPr>
        <w:pStyle w:val="ListParagraph"/>
        <w:spacing w:line="240" w:lineRule="auto"/>
        <w:jc w:val="both"/>
        <w:rPr>
          <w:rFonts w:ascii="Times New Roman" w:hAnsi="Times New Roman" w:cs="Times New Roman"/>
          <w:b/>
        </w:rPr>
      </w:pPr>
      <w:r w:rsidRPr="002F31C0">
        <w:rPr>
          <w:rFonts w:ascii="Times New Roman" w:hAnsi="Times New Roman" w:cs="Times New Roman"/>
          <w:b/>
        </w:rPr>
        <w:t xml:space="preserve"> </w:t>
      </w:r>
    </w:p>
    <w:p w14:paraId="480F002B" w14:textId="77777777" w:rsidR="00611A4D" w:rsidRPr="002F31C0" w:rsidRDefault="00611A4D" w:rsidP="005D2F01">
      <w:pPr>
        <w:pStyle w:val="ListParagraph"/>
        <w:numPr>
          <w:ilvl w:val="0"/>
          <w:numId w:val="28"/>
        </w:numPr>
        <w:spacing w:line="240" w:lineRule="auto"/>
        <w:jc w:val="both"/>
        <w:rPr>
          <w:rFonts w:ascii="Times New Roman" w:hAnsi="Times New Roman" w:cs="Times New Roman"/>
          <w:b/>
        </w:rPr>
      </w:pPr>
      <w:r w:rsidRPr="002F31C0">
        <w:rPr>
          <w:rFonts w:ascii="Times New Roman" w:hAnsi="Times New Roman" w:cs="Times New Roman"/>
        </w:rPr>
        <w:t xml:space="preserve">The duration of this consultancy is </w:t>
      </w:r>
      <w:r>
        <w:rPr>
          <w:rFonts w:ascii="Times New Roman" w:hAnsi="Times New Roman" w:cs="Times New Roman"/>
        </w:rPr>
        <w:t xml:space="preserve">9 </w:t>
      </w:r>
      <w:r w:rsidRPr="002F31C0">
        <w:rPr>
          <w:rFonts w:ascii="Times New Roman" w:hAnsi="Times New Roman" w:cs="Times New Roman"/>
        </w:rPr>
        <w:t>months.</w:t>
      </w:r>
    </w:p>
    <w:p w14:paraId="02865428" w14:textId="77777777" w:rsidR="00611A4D" w:rsidRPr="002F31C0" w:rsidRDefault="00611A4D" w:rsidP="00611A4D">
      <w:pPr>
        <w:spacing w:line="240" w:lineRule="auto"/>
        <w:jc w:val="both"/>
        <w:rPr>
          <w:rFonts w:ascii="Times New Roman" w:hAnsi="Times New Roman" w:cs="Times New Roman"/>
          <w:b/>
        </w:rPr>
      </w:pPr>
    </w:p>
    <w:p w14:paraId="76573089" w14:textId="77777777" w:rsidR="00611A4D" w:rsidRPr="002F31C0" w:rsidRDefault="00611A4D" w:rsidP="00611A4D">
      <w:pPr>
        <w:spacing w:line="240" w:lineRule="auto"/>
        <w:jc w:val="both"/>
        <w:rPr>
          <w:rFonts w:ascii="Times New Roman" w:hAnsi="Times New Roman" w:cs="Times New Roman"/>
          <w:b/>
        </w:rPr>
      </w:pPr>
      <w:r w:rsidRPr="002F31C0">
        <w:rPr>
          <w:rFonts w:ascii="Times New Roman" w:hAnsi="Times New Roman" w:cs="Times New Roman"/>
          <w:b/>
        </w:rPr>
        <w:t>Scope of Consultancy, Deliverables, and Timeline</w:t>
      </w:r>
    </w:p>
    <w:p w14:paraId="09EDE5D8" w14:textId="0C644410" w:rsidR="00611A4D" w:rsidRPr="002F31C0" w:rsidRDefault="00611A4D" w:rsidP="00E16442">
      <w:pPr>
        <w:pStyle w:val="ListParagraph"/>
        <w:numPr>
          <w:ilvl w:val="0"/>
          <w:numId w:val="29"/>
        </w:numPr>
        <w:spacing w:line="240" w:lineRule="auto"/>
        <w:jc w:val="both"/>
        <w:rPr>
          <w:rFonts w:ascii="Times New Roman" w:hAnsi="Times New Roman" w:cs="Times New Roman"/>
        </w:rPr>
      </w:pPr>
      <w:r w:rsidRPr="002F31C0">
        <w:rPr>
          <w:rFonts w:ascii="Times New Roman" w:hAnsi="Times New Roman" w:cs="Times New Roman"/>
        </w:rPr>
        <w:t xml:space="preserve">At the outset, the Consultant Team shall discuss the requirements outlined in this </w:t>
      </w:r>
      <w:proofErr w:type="spellStart"/>
      <w:r w:rsidRPr="002F31C0">
        <w:rPr>
          <w:rFonts w:ascii="Times New Roman" w:hAnsi="Times New Roman" w:cs="Times New Roman"/>
        </w:rPr>
        <w:t>ToR</w:t>
      </w:r>
      <w:proofErr w:type="spellEnd"/>
      <w:r w:rsidRPr="002F31C0">
        <w:rPr>
          <w:rFonts w:ascii="Times New Roman" w:hAnsi="Times New Roman" w:cs="Times New Roman"/>
        </w:rPr>
        <w:t xml:space="preserve">, including expectations of and possible constraints for the implementation of the activity with the Client.  The outcome of these discussions shall </w:t>
      </w:r>
      <w:r w:rsidR="003A1C8B">
        <w:rPr>
          <w:rFonts w:ascii="Times New Roman" w:hAnsi="Times New Roman" w:cs="Times New Roman"/>
        </w:rPr>
        <w:t>form</w:t>
      </w:r>
      <w:r w:rsidR="003A1C8B" w:rsidRPr="002F31C0">
        <w:rPr>
          <w:rFonts w:ascii="Times New Roman" w:hAnsi="Times New Roman" w:cs="Times New Roman"/>
        </w:rPr>
        <w:t xml:space="preserve"> </w:t>
      </w:r>
      <w:r w:rsidRPr="002F31C0">
        <w:rPr>
          <w:rFonts w:ascii="Times New Roman" w:hAnsi="Times New Roman" w:cs="Times New Roman"/>
        </w:rPr>
        <w:t>the basis for the preparation of the Local Development Plans.</w:t>
      </w:r>
    </w:p>
    <w:p w14:paraId="0697536F" w14:textId="77777777" w:rsidR="00611A4D" w:rsidRPr="002F31C0" w:rsidRDefault="00611A4D" w:rsidP="00611A4D">
      <w:pPr>
        <w:pStyle w:val="ListParagraph"/>
        <w:spacing w:line="240" w:lineRule="auto"/>
        <w:jc w:val="both"/>
        <w:rPr>
          <w:rFonts w:ascii="Times New Roman" w:hAnsi="Times New Roman" w:cs="Times New Roman"/>
        </w:rPr>
      </w:pPr>
    </w:p>
    <w:p w14:paraId="76687322" w14:textId="77777777" w:rsidR="00611A4D" w:rsidRPr="002F31C0" w:rsidRDefault="00611A4D" w:rsidP="00E16442">
      <w:pPr>
        <w:pStyle w:val="ListParagraph"/>
        <w:numPr>
          <w:ilvl w:val="0"/>
          <w:numId w:val="29"/>
        </w:numPr>
        <w:spacing w:line="240" w:lineRule="auto"/>
        <w:jc w:val="both"/>
        <w:rPr>
          <w:rFonts w:ascii="Times New Roman" w:hAnsi="Times New Roman" w:cs="Times New Roman"/>
        </w:rPr>
      </w:pPr>
      <w:r w:rsidRPr="002F31C0">
        <w:rPr>
          <w:rFonts w:ascii="Times New Roman" w:hAnsi="Times New Roman" w:cs="Times New Roman"/>
        </w:rPr>
        <w:t xml:space="preserve"> The following table lists key deliverables and milestones and serves as a guideline for the consultancy.  The Consultant Team is expected to propose a work plan outlining project sub-tasks (e.g. additional internal review/consultations session) and refine the timeline to meet the objectives of the assignment effectively for MNPI’s agreement.  Any changes to the agreed work plan shall be supported by valid arguments and shall require prior approval of the Client.  </w:t>
      </w:r>
    </w:p>
    <w:p w14:paraId="2015C6D4" w14:textId="77777777" w:rsidR="00611A4D" w:rsidRPr="002F31C0" w:rsidRDefault="00611A4D" w:rsidP="00611A4D">
      <w:pPr>
        <w:spacing w:line="240" w:lineRule="auto"/>
        <w:jc w:val="both"/>
        <w:rPr>
          <w:rFonts w:ascii="Times New Roman" w:hAnsi="Times New Roman" w:cs="Times New Roman"/>
        </w:rPr>
      </w:pPr>
    </w:p>
    <w:tbl>
      <w:tblPr>
        <w:tblW w:w="95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28"/>
        <w:gridCol w:w="2880"/>
        <w:gridCol w:w="3600"/>
        <w:gridCol w:w="2250"/>
      </w:tblGrid>
      <w:tr w:rsidR="00611A4D" w:rsidRPr="002F31C0" w14:paraId="551ACBB5" w14:textId="77777777" w:rsidTr="009A763F">
        <w:trPr>
          <w:trHeight w:val="50"/>
        </w:trPr>
        <w:tc>
          <w:tcPr>
            <w:tcW w:w="828" w:type="dxa"/>
            <w:tcBorders>
              <w:bottom w:val="single" w:sz="12" w:space="0" w:color="000000"/>
            </w:tcBorders>
            <w:vAlign w:val="center"/>
          </w:tcPr>
          <w:p w14:paraId="7E798702" w14:textId="77777777" w:rsidR="00611A4D" w:rsidRPr="002F31C0" w:rsidRDefault="00611A4D" w:rsidP="009A763F">
            <w:pPr>
              <w:pStyle w:val="Heading1"/>
              <w:jc w:val="center"/>
              <w:rPr>
                <w:rFonts w:cs="Times New Roman"/>
                <w:sz w:val="22"/>
              </w:rPr>
            </w:pPr>
            <w:r w:rsidRPr="002F31C0">
              <w:rPr>
                <w:rFonts w:cs="Times New Roman"/>
                <w:sz w:val="22"/>
              </w:rPr>
              <w:t>No.</w:t>
            </w:r>
          </w:p>
        </w:tc>
        <w:tc>
          <w:tcPr>
            <w:tcW w:w="2880" w:type="dxa"/>
            <w:tcBorders>
              <w:bottom w:val="single" w:sz="12" w:space="0" w:color="000000"/>
            </w:tcBorders>
            <w:vAlign w:val="center"/>
          </w:tcPr>
          <w:p w14:paraId="173D4952" w14:textId="77777777" w:rsidR="00611A4D" w:rsidRPr="002F31C0" w:rsidRDefault="00611A4D" w:rsidP="009A763F">
            <w:pPr>
              <w:pStyle w:val="Heading1"/>
              <w:jc w:val="center"/>
              <w:rPr>
                <w:rFonts w:cs="Times New Roman"/>
                <w:sz w:val="22"/>
              </w:rPr>
            </w:pPr>
            <w:r w:rsidRPr="002F31C0">
              <w:rPr>
                <w:rFonts w:cs="Times New Roman"/>
                <w:sz w:val="22"/>
              </w:rPr>
              <w:t>Deliverables</w:t>
            </w:r>
          </w:p>
        </w:tc>
        <w:tc>
          <w:tcPr>
            <w:tcW w:w="3600" w:type="dxa"/>
            <w:tcBorders>
              <w:bottom w:val="single" w:sz="12" w:space="0" w:color="000000"/>
            </w:tcBorders>
            <w:vAlign w:val="center"/>
          </w:tcPr>
          <w:p w14:paraId="2532905A" w14:textId="77777777" w:rsidR="00611A4D" w:rsidRPr="002F31C0" w:rsidRDefault="00611A4D" w:rsidP="009A763F">
            <w:pPr>
              <w:pStyle w:val="Heading1"/>
              <w:jc w:val="center"/>
              <w:rPr>
                <w:rFonts w:cs="Times New Roman"/>
                <w:sz w:val="22"/>
              </w:rPr>
            </w:pPr>
            <w:r w:rsidRPr="002F31C0">
              <w:rPr>
                <w:rFonts w:cs="Times New Roman"/>
                <w:sz w:val="22"/>
              </w:rPr>
              <w:t>Format</w:t>
            </w:r>
          </w:p>
        </w:tc>
        <w:tc>
          <w:tcPr>
            <w:tcW w:w="2250" w:type="dxa"/>
            <w:tcBorders>
              <w:bottom w:val="single" w:sz="12" w:space="0" w:color="000000"/>
            </w:tcBorders>
            <w:vAlign w:val="center"/>
          </w:tcPr>
          <w:p w14:paraId="1FD8A410" w14:textId="77777777" w:rsidR="00611A4D" w:rsidRPr="002F31C0" w:rsidRDefault="00611A4D" w:rsidP="009A763F">
            <w:pPr>
              <w:pStyle w:val="Heading1"/>
              <w:jc w:val="center"/>
              <w:rPr>
                <w:rFonts w:cs="Times New Roman"/>
                <w:sz w:val="22"/>
              </w:rPr>
            </w:pPr>
            <w:r w:rsidRPr="002F31C0">
              <w:rPr>
                <w:rFonts w:cs="Times New Roman"/>
                <w:sz w:val="22"/>
              </w:rPr>
              <w:t>Duration</w:t>
            </w:r>
          </w:p>
        </w:tc>
      </w:tr>
      <w:tr w:rsidR="00611A4D" w:rsidRPr="002F31C0" w14:paraId="5E19A05E" w14:textId="77777777" w:rsidTr="009A763F">
        <w:trPr>
          <w:trHeight w:val="168"/>
        </w:trPr>
        <w:tc>
          <w:tcPr>
            <w:tcW w:w="7308" w:type="dxa"/>
            <w:gridSpan w:val="3"/>
            <w:tcBorders>
              <w:top w:val="single" w:sz="12" w:space="0" w:color="000000"/>
              <w:left w:val="single" w:sz="12" w:space="0" w:color="000000"/>
              <w:bottom w:val="single" w:sz="4" w:space="0" w:color="000000"/>
            </w:tcBorders>
            <w:shd w:val="clear" w:color="auto" w:fill="F2F2F2" w:themeFill="background1" w:themeFillShade="F2"/>
          </w:tcPr>
          <w:p w14:paraId="0005CD0D" w14:textId="77777777" w:rsidR="00611A4D" w:rsidRPr="002F31C0" w:rsidRDefault="00611A4D" w:rsidP="009A763F">
            <w:pPr>
              <w:pStyle w:val="Heading1"/>
              <w:rPr>
                <w:rFonts w:cs="Times New Roman"/>
                <w:sz w:val="22"/>
              </w:rPr>
            </w:pPr>
            <w:r w:rsidRPr="002F31C0">
              <w:rPr>
                <w:rFonts w:cs="Times New Roman"/>
                <w:sz w:val="22"/>
              </w:rPr>
              <w:t>Stage 1: Inception</w:t>
            </w:r>
          </w:p>
        </w:tc>
        <w:tc>
          <w:tcPr>
            <w:tcW w:w="2250" w:type="dxa"/>
            <w:tcBorders>
              <w:top w:val="single" w:sz="12" w:space="0" w:color="000000"/>
              <w:bottom w:val="single" w:sz="4" w:space="0" w:color="000000"/>
              <w:right w:val="single" w:sz="12" w:space="0" w:color="000000"/>
            </w:tcBorders>
            <w:shd w:val="clear" w:color="auto" w:fill="F2F2F2" w:themeFill="background1" w:themeFillShade="F2"/>
          </w:tcPr>
          <w:p w14:paraId="79982D95" w14:textId="77777777" w:rsidR="00611A4D" w:rsidRPr="002F31C0" w:rsidRDefault="00611A4D" w:rsidP="009A763F">
            <w:pPr>
              <w:pStyle w:val="Heading1"/>
              <w:rPr>
                <w:rFonts w:cs="Times New Roman"/>
                <w:sz w:val="22"/>
              </w:rPr>
            </w:pPr>
            <w:r>
              <w:rPr>
                <w:rFonts w:cs="Times New Roman"/>
                <w:sz w:val="22"/>
              </w:rPr>
              <w:t>2</w:t>
            </w:r>
            <w:r w:rsidRPr="002F31C0">
              <w:rPr>
                <w:rFonts w:cs="Times New Roman"/>
                <w:sz w:val="22"/>
              </w:rPr>
              <w:t xml:space="preserve"> weeks</w:t>
            </w:r>
          </w:p>
        </w:tc>
      </w:tr>
      <w:tr w:rsidR="00611A4D" w:rsidRPr="002F31C0" w14:paraId="6F99C77F" w14:textId="77777777" w:rsidTr="009A763F">
        <w:trPr>
          <w:trHeight w:val="242"/>
        </w:trPr>
        <w:tc>
          <w:tcPr>
            <w:tcW w:w="828" w:type="dxa"/>
            <w:tcBorders>
              <w:top w:val="single" w:sz="4" w:space="0" w:color="000000"/>
              <w:left w:val="single" w:sz="12" w:space="0" w:color="000000"/>
              <w:bottom w:val="single" w:sz="4" w:space="0" w:color="000000"/>
            </w:tcBorders>
          </w:tcPr>
          <w:p w14:paraId="182A2BDD" w14:textId="77777777" w:rsidR="00611A4D" w:rsidRPr="002F31C0" w:rsidRDefault="00611A4D" w:rsidP="009A763F">
            <w:pPr>
              <w:spacing w:line="240" w:lineRule="auto"/>
              <w:jc w:val="center"/>
              <w:rPr>
                <w:rStyle w:val="Emphasis"/>
                <w:rFonts w:ascii="Times New Roman" w:hAnsi="Times New Roman" w:cs="Times New Roman"/>
                <w:i w:val="0"/>
              </w:rPr>
            </w:pPr>
            <w:r w:rsidRPr="002F31C0">
              <w:rPr>
                <w:rStyle w:val="Emphasis"/>
                <w:rFonts w:ascii="Times New Roman" w:hAnsi="Times New Roman" w:cs="Times New Roman"/>
              </w:rPr>
              <w:t>1.1</w:t>
            </w:r>
          </w:p>
        </w:tc>
        <w:tc>
          <w:tcPr>
            <w:tcW w:w="2880" w:type="dxa"/>
            <w:tcBorders>
              <w:top w:val="single" w:sz="4" w:space="0" w:color="000000"/>
              <w:bottom w:val="single" w:sz="4" w:space="0" w:color="000000"/>
            </w:tcBorders>
          </w:tcPr>
          <w:p w14:paraId="24E17E7A" w14:textId="77777777" w:rsidR="00611A4D" w:rsidRPr="002F31C0" w:rsidRDefault="00611A4D" w:rsidP="009A763F">
            <w:pPr>
              <w:spacing w:line="240" w:lineRule="auto"/>
              <w:rPr>
                <w:rStyle w:val="Emphasis"/>
                <w:rFonts w:ascii="Times New Roman" w:hAnsi="Times New Roman" w:cs="Times New Roman"/>
                <w:i w:val="0"/>
              </w:rPr>
            </w:pPr>
            <w:r w:rsidRPr="002F31C0">
              <w:rPr>
                <w:rStyle w:val="Emphasis"/>
                <w:rFonts w:ascii="Times New Roman" w:hAnsi="Times New Roman" w:cs="Times New Roman"/>
              </w:rPr>
              <w:t>Inception Report</w:t>
            </w:r>
          </w:p>
        </w:tc>
        <w:tc>
          <w:tcPr>
            <w:tcW w:w="3600" w:type="dxa"/>
            <w:vMerge w:val="restart"/>
            <w:tcBorders>
              <w:top w:val="single" w:sz="4" w:space="0" w:color="000000"/>
              <w:bottom w:val="single" w:sz="4" w:space="0" w:color="000000"/>
            </w:tcBorders>
          </w:tcPr>
          <w:p w14:paraId="79BDC2D8" w14:textId="77777777" w:rsidR="00611A4D" w:rsidRPr="002F31C0" w:rsidRDefault="00611A4D" w:rsidP="009A763F">
            <w:pPr>
              <w:pStyle w:val="ListParagraph"/>
              <w:numPr>
                <w:ilvl w:val="0"/>
                <w:numId w:val="3"/>
              </w:numPr>
              <w:spacing w:after="0" w:line="240" w:lineRule="auto"/>
              <w:jc w:val="both"/>
              <w:rPr>
                <w:rStyle w:val="Emphasis"/>
                <w:rFonts w:ascii="Times New Roman" w:hAnsi="Times New Roman" w:cs="Times New Roman"/>
                <w:i w:val="0"/>
                <w:lang w:eastAsia="en-GB"/>
              </w:rPr>
            </w:pPr>
            <w:r w:rsidRPr="002F31C0">
              <w:rPr>
                <w:rStyle w:val="Emphasis"/>
                <w:rFonts w:ascii="Times New Roman" w:hAnsi="Times New Roman" w:cs="Times New Roman"/>
              </w:rPr>
              <w:t>3 hardcopy reports in A4 size</w:t>
            </w:r>
          </w:p>
          <w:p w14:paraId="7FE8BEF8" w14:textId="77777777" w:rsidR="00611A4D" w:rsidRPr="002F31C0" w:rsidRDefault="00611A4D" w:rsidP="009A763F">
            <w:pPr>
              <w:pStyle w:val="ListParagraph"/>
              <w:numPr>
                <w:ilvl w:val="0"/>
                <w:numId w:val="3"/>
              </w:numPr>
              <w:spacing w:after="0" w:line="240" w:lineRule="auto"/>
              <w:jc w:val="both"/>
              <w:rPr>
                <w:rStyle w:val="Emphasis"/>
                <w:rFonts w:ascii="Times New Roman" w:hAnsi="Times New Roman" w:cs="Times New Roman"/>
                <w:i w:val="0"/>
              </w:rPr>
            </w:pPr>
            <w:r w:rsidRPr="002F31C0">
              <w:rPr>
                <w:rStyle w:val="Emphasis"/>
                <w:rFonts w:ascii="Times New Roman" w:hAnsi="Times New Roman" w:cs="Times New Roman"/>
              </w:rPr>
              <w:t>A softcopy of reports.</w:t>
            </w:r>
          </w:p>
        </w:tc>
        <w:tc>
          <w:tcPr>
            <w:tcW w:w="2250" w:type="dxa"/>
            <w:vMerge w:val="restart"/>
            <w:tcBorders>
              <w:top w:val="single" w:sz="4" w:space="0" w:color="000000"/>
              <w:bottom w:val="single" w:sz="4" w:space="0" w:color="000000"/>
              <w:right w:val="single" w:sz="12" w:space="0" w:color="000000"/>
            </w:tcBorders>
          </w:tcPr>
          <w:p w14:paraId="1EF31C84" w14:textId="77777777" w:rsidR="00611A4D" w:rsidRPr="002F31C0" w:rsidRDefault="00611A4D" w:rsidP="009A763F">
            <w:pPr>
              <w:spacing w:line="240" w:lineRule="auto"/>
              <w:rPr>
                <w:rStyle w:val="Emphasis"/>
                <w:rFonts w:ascii="Times New Roman" w:hAnsi="Times New Roman" w:cs="Times New Roman"/>
                <w:i w:val="0"/>
              </w:rPr>
            </w:pPr>
            <w:r w:rsidRPr="002F31C0">
              <w:rPr>
                <w:rStyle w:val="Emphasis"/>
                <w:rFonts w:ascii="Times New Roman" w:hAnsi="Times New Roman" w:cs="Times New Roman"/>
              </w:rPr>
              <w:t xml:space="preserve">2 weeks after contract commencement. </w:t>
            </w:r>
          </w:p>
        </w:tc>
      </w:tr>
      <w:tr w:rsidR="00611A4D" w:rsidRPr="002F31C0" w14:paraId="402BA418" w14:textId="77777777" w:rsidTr="009A763F">
        <w:trPr>
          <w:trHeight w:val="278"/>
        </w:trPr>
        <w:tc>
          <w:tcPr>
            <w:tcW w:w="828" w:type="dxa"/>
            <w:tcBorders>
              <w:top w:val="single" w:sz="4" w:space="0" w:color="000000"/>
              <w:left w:val="single" w:sz="12" w:space="0" w:color="000000"/>
              <w:bottom w:val="single" w:sz="4" w:space="0" w:color="000000"/>
            </w:tcBorders>
          </w:tcPr>
          <w:p w14:paraId="79874147" w14:textId="77777777" w:rsidR="00611A4D" w:rsidRPr="002F31C0" w:rsidRDefault="00611A4D" w:rsidP="009A763F">
            <w:pPr>
              <w:spacing w:line="240" w:lineRule="auto"/>
              <w:jc w:val="center"/>
              <w:rPr>
                <w:rStyle w:val="Emphasis"/>
                <w:rFonts w:ascii="Times New Roman" w:hAnsi="Times New Roman" w:cs="Times New Roman"/>
                <w:i w:val="0"/>
              </w:rPr>
            </w:pPr>
            <w:r w:rsidRPr="002F31C0">
              <w:rPr>
                <w:rStyle w:val="Emphasis"/>
                <w:rFonts w:ascii="Times New Roman" w:hAnsi="Times New Roman" w:cs="Times New Roman"/>
              </w:rPr>
              <w:t>1.2</w:t>
            </w:r>
          </w:p>
        </w:tc>
        <w:tc>
          <w:tcPr>
            <w:tcW w:w="2880" w:type="dxa"/>
            <w:tcBorders>
              <w:top w:val="single" w:sz="4" w:space="0" w:color="000000"/>
              <w:bottom w:val="single" w:sz="4" w:space="0" w:color="000000"/>
            </w:tcBorders>
          </w:tcPr>
          <w:p w14:paraId="54E04198" w14:textId="3D65EAAF" w:rsidR="00611A4D" w:rsidRPr="00BF3CD4" w:rsidRDefault="00BF3CD4" w:rsidP="009A763F">
            <w:pPr>
              <w:spacing w:line="240" w:lineRule="auto"/>
              <w:rPr>
                <w:rStyle w:val="Emphasis"/>
                <w:rFonts w:ascii="Times New Roman" w:hAnsi="Times New Roman" w:cs="Times New Roman"/>
                <w:i w:val="0"/>
              </w:rPr>
            </w:pPr>
            <w:r w:rsidRPr="00BF3CD4">
              <w:rPr>
                <w:rFonts w:ascii="Times New Roman" w:hAnsi="Times New Roman" w:cs="Times New Roman"/>
                <w:i/>
              </w:rPr>
              <w:t>Communications, Engagement and Capacity Building Strategy</w:t>
            </w:r>
          </w:p>
        </w:tc>
        <w:tc>
          <w:tcPr>
            <w:tcW w:w="3600" w:type="dxa"/>
            <w:vMerge/>
            <w:tcBorders>
              <w:top w:val="single" w:sz="4" w:space="0" w:color="000000"/>
              <w:bottom w:val="single" w:sz="4" w:space="0" w:color="000000"/>
            </w:tcBorders>
          </w:tcPr>
          <w:p w14:paraId="3A414759" w14:textId="77777777" w:rsidR="00611A4D" w:rsidRPr="002F31C0" w:rsidRDefault="00611A4D" w:rsidP="009A763F">
            <w:pPr>
              <w:spacing w:line="240" w:lineRule="auto"/>
              <w:rPr>
                <w:rStyle w:val="Emphasis"/>
                <w:rFonts w:ascii="Times New Roman" w:hAnsi="Times New Roman" w:cs="Times New Roman"/>
                <w:i w:val="0"/>
              </w:rPr>
            </w:pPr>
          </w:p>
        </w:tc>
        <w:tc>
          <w:tcPr>
            <w:tcW w:w="2250" w:type="dxa"/>
            <w:vMerge/>
            <w:tcBorders>
              <w:top w:val="single" w:sz="4" w:space="0" w:color="000000"/>
              <w:bottom w:val="single" w:sz="4" w:space="0" w:color="000000"/>
              <w:right w:val="single" w:sz="12" w:space="0" w:color="000000"/>
            </w:tcBorders>
          </w:tcPr>
          <w:p w14:paraId="755B0715" w14:textId="77777777" w:rsidR="00611A4D" w:rsidRPr="002F31C0" w:rsidDel="00D10D0E" w:rsidRDefault="00611A4D" w:rsidP="009A763F">
            <w:pPr>
              <w:spacing w:line="240" w:lineRule="auto"/>
              <w:rPr>
                <w:rStyle w:val="Emphasis"/>
                <w:rFonts w:ascii="Times New Roman" w:hAnsi="Times New Roman" w:cs="Times New Roman"/>
                <w:i w:val="0"/>
              </w:rPr>
            </w:pPr>
          </w:p>
        </w:tc>
      </w:tr>
      <w:tr w:rsidR="00611A4D" w:rsidRPr="002F31C0" w14:paraId="32563F2F" w14:textId="77777777" w:rsidTr="009A763F">
        <w:trPr>
          <w:trHeight w:val="70"/>
        </w:trPr>
        <w:tc>
          <w:tcPr>
            <w:tcW w:w="7308" w:type="dxa"/>
            <w:gridSpan w:val="3"/>
            <w:tcBorders>
              <w:top w:val="single" w:sz="4" w:space="0" w:color="000000"/>
              <w:left w:val="single" w:sz="12" w:space="0" w:color="000000"/>
              <w:bottom w:val="single" w:sz="12" w:space="0" w:color="000000"/>
            </w:tcBorders>
          </w:tcPr>
          <w:p w14:paraId="6543031C" w14:textId="77777777" w:rsidR="00611A4D" w:rsidRPr="002F31C0" w:rsidRDefault="00611A4D" w:rsidP="009A763F">
            <w:pPr>
              <w:spacing w:line="240" w:lineRule="auto"/>
              <w:rPr>
                <w:rStyle w:val="Emphasis"/>
                <w:rFonts w:ascii="Times New Roman" w:hAnsi="Times New Roman" w:cs="Times New Roman"/>
                <w:i w:val="0"/>
              </w:rPr>
            </w:pPr>
            <w:r w:rsidRPr="002F31C0">
              <w:rPr>
                <w:rStyle w:val="Emphasis"/>
                <w:rFonts w:ascii="Times New Roman" w:hAnsi="Times New Roman" w:cs="Times New Roman"/>
              </w:rPr>
              <w:t>Review and incorporation of comments into final version</w:t>
            </w:r>
          </w:p>
        </w:tc>
        <w:tc>
          <w:tcPr>
            <w:tcW w:w="2250" w:type="dxa"/>
            <w:tcBorders>
              <w:top w:val="single" w:sz="4" w:space="0" w:color="000000"/>
              <w:bottom w:val="single" w:sz="12" w:space="0" w:color="000000"/>
              <w:right w:val="single" w:sz="12" w:space="0" w:color="000000"/>
            </w:tcBorders>
          </w:tcPr>
          <w:p w14:paraId="56DB3392" w14:textId="77777777" w:rsidR="00611A4D" w:rsidRPr="002F31C0" w:rsidRDefault="00611A4D" w:rsidP="009A763F">
            <w:pPr>
              <w:spacing w:line="240" w:lineRule="auto"/>
              <w:rPr>
                <w:rStyle w:val="Emphasis"/>
                <w:rFonts w:ascii="Times New Roman" w:hAnsi="Times New Roman" w:cs="Times New Roman"/>
                <w:i w:val="0"/>
              </w:rPr>
            </w:pPr>
            <w:r w:rsidRPr="002F31C0">
              <w:rPr>
                <w:rStyle w:val="Emphasis"/>
                <w:rFonts w:ascii="Times New Roman" w:hAnsi="Times New Roman" w:cs="Times New Roman"/>
              </w:rPr>
              <w:t>2 weeks</w:t>
            </w:r>
          </w:p>
        </w:tc>
      </w:tr>
      <w:tr w:rsidR="00611A4D" w:rsidRPr="002F31C0" w14:paraId="170C05B3" w14:textId="77777777" w:rsidTr="009A763F">
        <w:trPr>
          <w:trHeight w:val="70"/>
        </w:trPr>
        <w:tc>
          <w:tcPr>
            <w:tcW w:w="7308" w:type="dxa"/>
            <w:gridSpan w:val="3"/>
            <w:tcBorders>
              <w:top w:val="single" w:sz="12" w:space="0" w:color="000000"/>
              <w:bottom w:val="single" w:sz="4" w:space="0" w:color="000000"/>
            </w:tcBorders>
            <w:shd w:val="clear" w:color="auto" w:fill="F2F2F2" w:themeFill="background1" w:themeFillShade="F2"/>
          </w:tcPr>
          <w:p w14:paraId="31C2AB11" w14:textId="77777777" w:rsidR="00611A4D" w:rsidRPr="002F31C0" w:rsidRDefault="00611A4D" w:rsidP="009A763F">
            <w:pPr>
              <w:pStyle w:val="Heading1"/>
              <w:rPr>
                <w:rFonts w:cs="Times New Roman"/>
                <w:sz w:val="22"/>
              </w:rPr>
            </w:pPr>
            <w:r w:rsidRPr="002F31C0">
              <w:rPr>
                <w:rFonts w:cs="Times New Roman"/>
                <w:sz w:val="22"/>
              </w:rPr>
              <w:t>Phase 2: NSP Assessment</w:t>
            </w:r>
          </w:p>
        </w:tc>
        <w:tc>
          <w:tcPr>
            <w:tcW w:w="2250" w:type="dxa"/>
            <w:tcBorders>
              <w:top w:val="single" w:sz="12" w:space="0" w:color="000000"/>
              <w:bottom w:val="single" w:sz="4" w:space="0" w:color="000000"/>
            </w:tcBorders>
            <w:shd w:val="clear" w:color="auto" w:fill="F2F2F2" w:themeFill="background1" w:themeFillShade="F2"/>
          </w:tcPr>
          <w:p w14:paraId="14297F79" w14:textId="77777777" w:rsidR="00611A4D" w:rsidRPr="002F31C0" w:rsidRDefault="00611A4D" w:rsidP="009A763F">
            <w:pPr>
              <w:pStyle w:val="Heading1"/>
              <w:rPr>
                <w:rFonts w:cs="Times New Roman"/>
                <w:sz w:val="22"/>
              </w:rPr>
            </w:pPr>
            <w:r>
              <w:rPr>
                <w:rFonts w:cs="Times New Roman"/>
                <w:sz w:val="22"/>
              </w:rPr>
              <w:t>2</w:t>
            </w:r>
            <w:r w:rsidRPr="002F31C0">
              <w:rPr>
                <w:rFonts w:cs="Times New Roman"/>
                <w:sz w:val="22"/>
              </w:rPr>
              <w:t>.5 months</w:t>
            </w:r>
          </w:p>
        </w:tc>
      </w:tr>
      <w:tr w:rsidR="00611A4D" w:rsidRPr="002F31C0" w14:paraId="53EC5EE6" w14:textId="77777777" w:rsidTr="009A763F">
        <w:trPr>
          <w:trHeight w:val="143"/>
        </w:trPr>
        <w:tc>
          <w:tcPr>
            <w:tcW w:w="828" w:type="dxa"/>
            <w:tcBorders>
              <w:top w:val="single" w:sz="4" w:space="0" w:color="000000"/>
              <w:bottom w:val="single" w:sz="4" w:space="0" w:color="000000"/>
            </w:tcBorders>
          </w:tcPr>
          <w:p w14:paraId="4343551B" w14:textId="77777777" w:rsidR="00611A4D" w:rsidRPr="002F31C0" w:rsidRDefault="00611A4D" w:rsidP="009A763F">
            <w:pPr>
              <w:spacing w:line="240" w:lineRule="auto"/>
              <w:jc w:val="center"/>
              <w:rPr>
                <w:rFonts w:ascii="Times New Roman" w:hAnsi="Times New Roman" w:cs="Times New Roman"/>
              </w:rPr>
            </w:pPr>
            <w:r w:rsidRPr="002F31C0">
              <w:rPr>
                <w:rFonts w:ascii="Times New Roman" w:hAnsi="Times New Roman" w:cs="Times New Roman"/>
              </w:rPr>
              <w:t>2.1</w:t>
            </w:r>
          </w:p>
        </w:tc>
        <w:tc>
          <w:tcPr>
            <w:tcW w:w="2880" w:type="dxa"/>
            <w:tcBorders>
              <w:top w:val="single" w:sz="4" w:space="0" w:color="000000"/>
              <w:bottom w:val="single" w:sz="4" w:space="0" w:color="000000"/>
            </w:tcBorders>
          </w:tcPr>
          <w:p w14:paraId="0924C5AD" w14:textId="77777777" w:rsidR="00611A4D" w:rsidRPr="002F31C0" w:rsidRDefault="00611A4D" w:rsidP="009A763F">
            <w:pPr>
              <w:pStyle w:val="ListParagraph"/>
              <w:spacing w:line="240" w:lineRule="auto"/>
              <w:ind w:left="0"/>
              <w:rPr>
                <w:rFonts w:ascii="Times New Roman" w:hAnsi="Times New Roman" w:cs="Times New Roman"/>
                <w:iCs/>
              </w:rPr>
            </w:pPr>
            <w:r w:rsidRPr="002F31C0">
              <w:rPr>
                <w:rStyle w:val="Emphasis"/>
                <w:rFonts w:ascii="Times New Roman" w:hAnsi="Times New Roman" w:cs="Times New Roman"/>
              </w:rPr>
              <w:t>Assessment of NSP</w:t>
            </w:r>
          </w:p>
        </w:tc>
        <w:tc>
          <w:tcPr>
            <w:tcW w:w="3600" w:type="dxa"/>
            <w:vMerge w:val="restart"/>
            <w:tcBorders>
              <w:top w:val="single" w:sz="4" w:space="0" w:color="000000"/>
            </w:tcBorders>
          </w:tcPr>
          <w:p w14:paraId="62C041A8" w14:textId="77777777" w:rsidR="00611A4D" w:rsidRPr="002F31C0" w:rsidRDefault="00611A4D" w:rsidP="009A763F">
            <w:pPr>
              <w:pStyle w:val="ListParagraph"/>
              <w:numPr>
                <w:ilvl w:val="0"/>
                <w:numId w:val="2"/>
              </w:numPr>
              <w:spacing w:after="0" w:line="240" w:lineRule="auto"/>
              <w:rPr>
                <w:rFonts w:ascii="Times New Roman" w:hAnsi="Times New Roman" w:cs="Times New Roman"/>
              </w:rPr>
            </w:pPr>
            <w:r w:rsidRPr="002F31C0">
              <w:rPr>
                <w:rFonts w:ascii="Times New Roman" w:hAnsi="Times New Roman" w:cs="Times New Roman"/>
              </w:rPr>
              <w:t>3 hardcopy reports in A4 and/or A3 size, plans in A1.</w:t>
            </w:r>
          </w:p>
          <w:p w14:paraId="04A3B2A3" w14:textId="77777777" w:rsidR="00611A4D" w:rsidRPr="002F31C0" w:rsidRDefault="00611A4D" w:rsidP="009A763F">
            <w:pPr>
              <w:pStyle w:val="ListParagraph"/>
              <w:numPr>
                <w:ilvl w:val="0"/>
                <w:numId w:val="2"/>
              </w:numPr>
              <w:spacing w:after="0" w:line="240" w:lineRule="auto"/>
              <w:rPr>
                <w:rFonts w:ascii="Times New Roman" w:hAnsi="Times New Roman" w:cs="Times New Roman"/>
              </w:rPr>
            </w:pPr>
            <w:r w:rsidRPr="002F31C0">
              <w:rPr>
                <w:rFonts w:ascii="Times New Roman" w:hAnsi="Times New Roman" w:cs="Times New Roman"/>
              </w:rPr>
              <w:t>A PowerPoint presentation.</w:t>
            </w:r>
          </w:p>
          <w:p w14:paraId="1708BA36" w14:textId="77777777" w:rsidR="00611A4D" w:rsidRPr="002F31C0" w:rsidRDefault="00611A4D" w:rsidP="009A763F">
            <w:pPr>
              <w:pStyle w:val="ListParagraph"/>
              <w:numPr>
                <w:ilvl w:val="0"/>
                <w:numId w:val="2"/>
              </w:numPr>
              <w:spacing w:after="0" w:line="240" w:lineRule="auto"/>
              <w:rPr>
                <w:rFonts w:ascii="Times New Roman" w:hAnsi="Times New Roman" w:cs="Times New Roman"/>
              </w:rPr>
            </w:pPr>
            <w:r w:rsidRPr="002F31C0">
              <w:rPr>
                <w:rFonts w:ascii="Times New Roman" w:hAnsi="Times New Roman" w:cs="Times New Roman"/>
              </w:rPr>
              <w:t>A softcopy of all reports, plans and related GIS and CAD files.</w:t>
            </w:r>
          </w:p>
        </w:tc>
        <w:tc>
          <w:tcPr>
            <w:tcW w:w="2250" w:type="dxa"/>
            <w:vMerge w:val="restart"/>
            <w:tcBorders>
              <w:top w:val="single" w:sz="4" w:space="0" w:color="000000"/>
            </w:tcBorders>
          </w:tcPr>
          <w:p w14:paraId="44DC566D" w14:textId="77777777" w:rsidR="00611A4D" w:rsidRPr="002F31C0" w:rsidRDefault="00611A4D" w:rsidP="009A763F">
            <w:pPr>
              <w:pStyle w:val="ListParagraph"/>
              <w:spacing w:line="240" w:lineRule="auto"/>
              <w:ind w:left="0"/>
              <w:rPr>
                <w:rFonts w:ascii="Times New Roman" w:hAnsi="Times New Roman" w:cs="Times New Roman"/>
              </w:rPr>
            </w:pPr>
            <w:r>
              <w:rPr>
                <w:rFonts w:ascii="Times New Roman" w:hAnsi="Times New Roman" w:cs="Times New Roman"/>
              </w:rPr>
              <w:t>8</w:t>
            </w:r>
            <w:r w:rsidRPr="002F31C0">
              <w:rPr>
                <w:rFonts w:ascii="Times New Roman" w:hAnsi="Times New Roman" w:cs="Times New Roman"/>
              </w:rPr>
              <w:t xml:space="preserve"> weeks after approval of the Inception Report.</w:t>
            </w:r>
          </w:p>
        </w:tc>
      </w:tr>
      <w:tr w:rsidR="00611A4D" w:rsidRPr="002F31C0" w14:paraId="243CD1D8" w14:textId="77777777" w:rsidTr="009A763F">
        <w:trPr>
          <w:trHeight w:val="70"/>
        </w:trPr>
        <w:tc>
          <w:tcPr>
            <w:tcW w:w="828" w:type="dxa"/>
            <w:tcBorders>
              <w:top w:val="single" w:sz="4" w:space="0" w:color="000000"/>
              <w:bottom w:val="single" w:sz="4" w:space="0" w:color="000000"/>
            </w:tcBorders>
          </w:tcPr>
          <w:p w14:paraId="2E018C73" w14:textId="77777777" w:rsidR="00611A4D" w:rsidRPr="002F31C0" w:rsidRDefault="00611A4D" w:rsidP="009A763F">
            <w:pPr>
              <w:spacing w:line="240" w:lineRule="auto"/>
              <w:jc w:val="center"/>
              <w:rPr>
                <w:rFonts w:ascii="Times New Roman" w:hAnsi="Times New Roman" w:cs="Times New Roman"/>
              </w:rPr>
            </w:pPr>
            <w:r w:rsidRPr="002F31C0">
              <w:rPr>
                <w:rFonts w:ascii="Times New Roman" w:hAnsi="Times New Roman" w:cs="Times New Roman"/>
              </w:rPr>
              <w:t>2.2</w:t>
            </w:r>
          </w:p>
        </w:tc>
        <w:tc>
          <w:tcPr>
            <w:tcW w:w="2880" w:type="dxa"/>
            <w:tcBorders>
              <w:top w:val="single" w:sz="4" w:space="0" w:color="000000"/>
              <w:bottom w:val="single" w:sz="4" w:space="0" w:color="000000"/>
            </w:tcBorders>
          </w:tcPr>
          <w:p w14:paraId="0C75EB07" w14:textId="77777777" w:rsidR="00611A4D" w:rsidRPr="002F31C0" w:rsidRDefault="00611A4D" w:rsidP="009A763F">
            <w:pPr>
              <w:pStyle w:val="ListParagraph"/>
              <w:spacing w:line="240" w:lineRule="auto"/>
              <w:ind w:left="0"/>
              <w:rPr>
                <w:rFonts w:ascii="Times New Roman" w:hAnsi="Times New Roman" w:cs="Times New Roman"/>
                <w:iCs/>
              </w:rPr>
            </w:pPr>
            <w:r w:rsidRPr="002F31C0">
              <w:rPr>
                <w:rStyle w:val="Emphasis"/>
                <w:rFonts w:ascii="Times New Roman" w:hAnsi="Times New Roman" w:cs="Times New Roman"/>
              </w:rPr>
              <w:t>Review of SUDMP</w:t>
            </w:r>
            <w:r>
              <w:rPr>
                <w:rStyle w:val="Emphasis"/>
                <w:rFonts w:ascii="Times New Roman" w:hAnsi="Times New Roman" w:cs="Times New Roman"/>
              </w:rPr>
              <w:t xml:space="preserve"> and other relevant land use and planning plans and regulations</w:t>
            </w:r>
          </w:p>
        </w:tc>
        <w:tc>
          <w:tcPr>
            <w:tcW w:w="3600" w:type="dxa"/>
            <w:vMerge/>
          </w:tcPr>
          <w:p w14:paraId="22C61774" w14:textId="77777777" w:rsidR="00611A4D" w:rsidRPr="002F31C0" w:rsidRDefault="00611A4D" w:rsidP="009A763F">
            <w:pPr>
              <w:pStyle w:val="ListParagraph"/>
              <w:spacing w:line="240" w:lineRule="auto"/>
              <w:ind w:left="0"/>
              <w:rPr>
                <w:rFonts w:ascii="Times New Roman" w:hAnsi="Times New Roman" w:cs="Times New Roman"/>
              </w:rPr>
            </w:pPr>
          </w:p>
        </w:tc>
        <w:tc>
          <w:tcPr>
            <w:tcW w:w="2250" w:type="dxa"/>
            <w:vMerge/>
          </w:tcPr>
          <w:p w14:paraId="247E818D" w14:textId="77777777" w:rsidR="00611A4D" w:rsidRPr="002F31C0" w:rsidRDefault="00611A4D" w:rsidP="009A763F">
            <w:pPr>
              <w:pStyle w:val="ListParagraph"/>
              <w:spacing w:line="240" w:lineRule="auto"/>
              <w:ind w:left="0"/>
              <w:rPr>
                <w:rFonts w:ascii="Times New Roman" w:hAnsi="Times New Roman" w:cs="Times New Roman"/>
              </w:rPr>
            </w:pPr>
          </w:p>
        </w:tc>
      </w:tr>
      <w:tr w:rsidR="00611A4D" w:rsidRPr="002F31C0" w14:paraId="0A16EA75" w14:textId="77777777" w:rsidTr="009A763F">
        <w:trPr>
          <w:trHeight w:val="70"/>
        </w:trPr>
        <w:tc>
          <w:tcPr>
            <w:tcW w:w="828" w:type="dxa"/>
            <w:tcBorders>
              <w:top w:val="single" w:sz="4" w:space="0" w:color="000000"/>
              <w:bottom w:val="single" w:sz="4" w:space="0" w:color="000000"/>
            </w:tcBorders>
          </w:tcPr>
          <w:p w14:paraId="4C4B1A38" w14:textId="77777777" w:rsidR="00611A4D" w:rsidRPr="002F31C0" w:rsidRDefault="00611A4D" w:rsidP="009A763F">
            <w:pPr>
              <w:spacing w:line="240" w:lineRule="auto"/>
              <w:jc w:val="center"/>
              <w:rPr>
                <w:rFonts w:ascii="Times New Roman" w:hAnsi="Times New Roman" w:cs="Times New Roman"/>
              </w:rPr>
            </w:pPr>
            <w:r w:rsidRPr="002F31C0">
              <w:rPr>
                <w:rFonts w:ascii="Times New Roman" w:hAnsi="Times New Roman" w:cs="Times New Roman"/>
              </w:rPr>
              <w:t xml:space="preserve">2.3 </w:t>
            </w:r>
          </w:p>
        </w:tc>
        <w:tc>
          <w:tcPr>
            <w:tcW w:w="2880" w:type="dxa"/>
            <w:tcBorders>
              <w:top w:val="single" w:sz="4" w:space="0" w:color="000000"/>
              <w:bottom w:val="single" w:sz="4" w:space="0" w:color="000000"/>
            </w:tcBorders>
          </w:tcPr>
          <w:p w14:paraId="7839AC82" w14:textId="77777777" w:rsidR="00611A4D" w:rsidRPr="002F31C0" w:rsidRDefault="00611A4D" w:rsidP="009A763F">
            <w:pPr>
              <w:pStyle w:val="ListParagraph"/>
              <w:spacing w:line="240" w:lineRule="auto"/>
              <w:ind w:left="0"/>
              <w:rPr>
                <w:rStyle w:val="Emphasis"/>
                <w:rFonts w:ascii="Times New Roman" w:hAnsi="Times New Roman" w:cs="Times New Roman"/>
                <w:i w:val="0"/>
              </w:rPr>
            </w:pPr>
            <w:r w:rsidRPr="002F31C0">
              <w:rPr>
                <w:rStyle w:val="Emphasis"/>
                <w:rFonts w:ascii="Times New Roman" w:hAnsi="Times New Roman" w:cs="Times New Roman"/>
              </w:rPr>
              <w:t>Policy Recommendations</w:t>
            </w:r>
          </w:p>
        </w:tc>
        <w:tc>
          <w:tcPr>
            <w:tcW w:w="3600" w:type="dxa"/>
            <w:vMerge/>
            <w:tcBorders>
              <w:bottom w:val="single" w:sz="4" w:space="0" w:color="000000"/>
            </w:tcBorders>
          </w:tcPr>
          <w:p w14:paraId="579BF315" w14:textId="77777777" w:rsidR="00611A4D" w:rsidRPr="002F31C0" w:rsidRDefault="00611A4D" w:rsidP="009A763F">
            <w:pPr>
              <w:pStyle w:val="ListParagraph"/>
              <w:spacing w:line="240" w:lineRule="auto"/>
              <w:ind w:left="0"/>
              <w:rPr>
                <w:rFonts w:ascii="Times New Roman" w:hAnsi="Times New Roman" w:cs="Times New Roman"/>
              </w:rPr>
            </w:pPr>
          </w:p>
        </w:tc>
        <w:tc>
          <w:tcPr>
            <w:tcW w:w="2250" w:type="dxa"/>
            <w:vMerge/>
            <w:tcBorders>
              <w:bottom w:val="single" w:sz="4" w:space="0" w:color="000000"/>
            </w:tcBorders>
          </w:tcPr>
          <w:p w14:paraId="14C95036" w14:textId="77777777" w:rsidR="00611A4D" w:rsidRPr="002F31C0" w:rsidRDefault="00611A4D" w:rsidP="009A763F">
            <w:pPr>
              <w:pStyle w:val="ListParagraph"/>
              <w:spacing w:line="240" w:lineRule="auto"/>
              <w:ind w:left="0"/>
              <w:rPr>
                <w:rFonts w:ascii="Times New Roman" w:hAnsi="Times New Roman" w:cs="Times New Roman"/>
              </w:rPr>
            </w:pPr>
          </w:p>
        </w:tc>
      </w:tr>
      <w:tr w:rsidR="00611A4D" w:rsidRPr="002F31C0" w14:paraId="3CAE7CA3" w14:textId="77777777" w:rsidTr="009A763F">
        <w:trPr>
          <w:trHeight w:val="70"/>
        </w:trPr>
        <w:tc>
          <w:tcPr>
            <w:tcW w:w="7308" w:type="dxa"/>
            <w:gridSpan w:val="3"/>
            <w:tcBorders>
              <w:top w:val="single" w:sz="4" w:space="0" w:color="000000"/>
              <w:bottom w:val="single" w:sz="12" w:space="0" w:color="000000"/>
            </w:tcBorders>
          </w:tcPr>
          <w:p w14:paraId="2C2D3EE1" w14:textId="77777777" w:rsidR="00611A4D" w:rsidRPr="002F31C0" w:rsidRDefault="00611A4D" w:rsidP="009A763F">
            <w:pPr>
              <w:pStyle w:val="Heading1"/>
              <w:rPr>
                <w:rFonts w:cs="Times New Roman"/>
                <w:b w:val="0"/>
                <w:iCs/>
                <w:sz w:val="22"/>
              </w:rPr>
            </w:pPr>
            <w:r w:rsidRPr="002F31C0">
              <w:rPr>
                <w:rStyle w:val="Emphasis"/>
                <w:rFonts w:cs="Times New Roman"/>
                <w:b w:val="0"/>
                <w:sz w:val="22"/>
              </w:rPr>
              <w:t>Review and incorporation of comments into final version</w:t>
            </w:r>
          </w:p>
        </w:tc>
        <w:tc>
          <w:tcPr>
            <w:tcW w:w="2250" w:type="dxa"/>
            <w:tcBorders>
              <w:top w:val="single" w:sz="4" w:space="0" w:color="000000"/>
              <w:bottom w:val="single" w:sz="12" w:space="0" w:color="000000"/>
            </w:tcBorders>
          </w:tcPr>
          <w:p w14:paraId="5ED2164D" w14:textId="77777777" w:rsidR="00611A4D" w:rsidRPr="002F31C0" w:rsidRDefault="00611A4D" w:rsidP="009A763F">
            <w:pPr>
              <w:pStyle w:val="Heading1"/>
              <w:rPr>
                <w:rFonts w:cs="Times New Roman"/>
                <w:b w:val="0"/>
                <w:sz w:val="22"/>
              </w:rPr>
            </w:pPr>
            <w:r w:rsidRPr="002F31C0">
              <w:rPr>
                <w:rFonts w:cs="Times New Roman"/>
                <w:b w:val="0"/>
                <w:sz w:val="22"/>
              </w:rPr>
              <w:t>2 weeks</w:t>
            </w:r>
          </w:p>
        </w:tc>
      </w:tr>
      <w:tr w:rsidR="00611A4D" w:rsidRPr="002F31C0" w14:paraId="3D27CD41" w14:textId="77777777" w:rsidTr="009A763F">
        <w:trPr>
          <w:trHeight w:val="70"/>
        </w:trPr>
        <w:tc>
          <w:tcPr>
            <w:tcW w:w="7308" w:type="dxa"/>
            <w:gridSpan w:val="3"/>
            <w:tcBorders>
              <w:top w:val="single" w:sz="12" w:space="0" w:color="000000"/>
              <w:bottom w:val="single" w:sz="4" w:space="0" w:color="000000"/>
            </w:tcBorders>
            <w:shd w:val="clear" w:color="auto" w:fill="F2F2F2" w:themeFill="background1" w:themeFillShade="F2"/>
          </w:tcPr>
          <w:p w14:paraId="0CF04BF0" w14:textId="77777777" w:rsidR="00611A4D" w:rsidRPr="002F31C0" w:rsidRDefault="00611A4D" w:rsidP="009A763F">
            <w:pPr>
              <w:pStyle w:val="Heading1"/>
              <w:rPr>
                <w:rFonts w:cs="Times New Roman"/>
                <w:sz w:val="22"/>
              </w:rPr>
            </w:pPr>
            <w:r w:rsidRPr="002F31C0">
              <w:rPr>
                <w:rFonts w:cs="Times New Roman"/>
                <w:sz w:val="22"/>
              </w:rPr>
              <w:t>Phase 3: Local Development Plan</w:t>
            </w:r>
          </w:p>
        </w:tc>
        <w:tc>
          <w:tcPr>
            <w:tcW w:w="2250" w:type="dxa"/>
            <w:tcBorders>
              <w:top w:val="single" w:sz="12" w:space="0" w:color="000000"/>
              <w:bottom w:val="single" w:sz="4" w:space="0" w:color="000000"/>
            </w:tcBorders>
            <w:shd w:val="clear" w:color="auto" w:fill="F2F2F2" w:themeFill="background1" w:themeFillShade="F2"/>
          </w:tcPr>
          <w:p w14:paraId="799DFE0A" w14:textId="77777777" w:rsidR="00611A4D" w:rsidRPr="002F31C0" w:rsidRDefault="00611A4D" w:rsidP="009A763F">
            <w:pPr>
              <w:pStyle w:val="Heading1"/>
              <w:rPr>
                <w:rFonts w:cs="Times New Roman"/>
                <w:sz w:val="22"/>
              </w:rPr>
            </w:pPr>
            <w:r>
              <w:rPr>
                <w:rFonts w:cs="Times New Roman"/>
                <w:sz w:val="22"/>
              </w:rPr>
              <w:t>6</w:t>
            </w:r>
            <w:r w:rsidRPr="002F31C0">
              <w:rPr>
                <w:rFonts w:cs="Times New Roman"/>
                <w:sz w:val="22"/>
              </w:rPr>
              <w:t xml:space="preserve"> months</w:t>
            </w:r>
          </w:p>
        </w:tc>
      </w:tr>
      <w:tr w:rsidR="00611A4D" w:rsidRPr="002F31C0" w14:paraId="5279D1A8" w14:textId="77777777" w:rsidTr="009A763F">
        <w:trPr>
          <w:trHeight w:val="777"/>
        </w:trPr>
        <w:tc>
          <w:tcPr>
            <w:tcW w:w="828" w:type="dxa"/>
            <w:tcBorders>
              <w:top w:val="single" w:sz="4" w:space="0" w:color="000000"/>
              <w:bottom w:val="single" w:sz="4" w:space="0" w:color="000000"/>
            </w:tcBorders>
          </w:tcPr>
          <w:p w14:paraId="3AFA07C3" w14:textId="77777777" w:rsidR="00611A4D" w:rsidRPr="002F31C0" w:rsidRDefault="00611A4D" w:rsidP="009A763F">
            <w:pPr>
              <w:spacing w:line="240" w:lineRule="auto"/>
              <w:jc w:val="center"/>
              <w:rPr>
                <w:rFonts w:ascii="Times New Roman" w:hAnsi="Times New Roman" w:cs="Times New Roman"/>
              </w:rPr>
            </w:pPr>
            <w:r w:rsidRPr="002F31C0">
              <w:rPr>
                <w:rFonts w:ascii="Times New Roman" w:hAnsi="Times New Roman" w:cs="Times New Roman"/>
              </w:rPr>
              <w:lastRenderedPageBreak/>
              <w:t>3.1</w:t>
            </w:r>
          </w:p>
        </w:tc>
        <w:tc>
          <w:tcPr>
            <w:tcW w:w="2880" w:type="dxa"/>
            <w:tcBorders>
              <w:top w:val="single" w:sz="4" w:space="0" w:color="000000"/>
              <w:bottom w:val="single" w:sz="4" w:space="0" w:color="000000"/>
            </w:tcBorders>
          </w:tcPr>
          <w:p w14:paraId="250892D1" w14:textId="77777777" w:rsidR="00611A4D" w:rsidRPr="002F31C0" w:rsidRDefault="00611A4D" w:rsidP="009A763F">
            <w:pPr>
              <w:pStyle w:val="ListParagraph"/>
              <w:spacing w:line="240" w:lineRule="auto"/>
              <w:ind w:left="0"/>
              <w:rPr>
                <w:rFonts w:ascii="Times New Roman" w:hAnsi="Times New Roman" w:cs="Times New Roman"/>
                <w:iCs/>
              </w:rPr>
            </w:pPr>
            <w:r w:rsidRPr="002F31C0">
              <w:rPr>
                <w:rFonts w:ascii="Times New Roman" w:hAnsi="Times New Roman" w:cs="Times New Roman"/>
                <w:iCs/>
              </w:rPr>
              <w:t xml:space="preserve">Draft </w:t>
            </w:r>
            <w:r>
              <w:rPr>
                <w:rFonts w:ascii="Times New Roman" w:hAnsi="Times New Roman" w:cs="Times New Roman"/>
                <w:iCs/>
              </w:rPr>
              <w:t xml:space="preserve">Site Plans, Local Development Plans, </w:t>
            </w:r>
            <w:r w:rsidRPr="002F31C0">
              <w:rPr>
                <w:rFonts w:ascii="Times New Roman" w:hAnsi="Times New Roman" w:cs="Times New Roman"/>
                <w:iCs/>
              </w:rPr>
              <w:t>Urban Design Plans and Guidelines</w:t>
            </w:r>
          </w:p>
        </w:tc>
        <w:tc>
          <w:tcPr>
            <w:tcW w:w="3600" w:type="dxa"/>
            <w:tcBorders>
              <w:top w:val="single" w:sz="4" w:space="0" w:color="000000"/>
              <w:bottom w:val="single" w:sz="4" w:space="0" w:color="000000"/>
            </w:tcBorders>
          </w:tcPr>
          <w:p w14:paraId="54F520A2" w14:textId="77777777" w:rsidR="00611A4D" w:rsidRPr="002F31C0" w:rsidRDefault="00611A4D" w:rsidP="009A763F">
            <w:pPr>
              <w:pStyle w:val="ListParagraph"/>
              <w:numPr>
                <w:ilvl w:val="0"/>
                <w:numId w:val="2"/>
              </w:numPr>
              <w:spacing w:after="0" w:line="240" w:lineRule="auto"/>
              <w:rPr>
                <w:rFonts w:ascii="Times New Roman" w:hAnsi="Times New Roman" w:cs="Times New Roman"/>
              </w:rPr>
            </w:pPr>
            <w:r w:rsidRPr="002F31C0">
              <w:rPr>
                <w:rFonts w:ascii="Times New Roman" w:hAnsi="Times New Roman" w:cs="Times New Roman"/>
              </w:rPr>
              <w:t>3 hardcopy reports in A4 and/or A3 size, plans in A1.</w:t>
            </w:r>
          </w:p>
          <w:p w14:paraId="5AF1D658" w14:textId="77777777" w:rsidR="00611A4D" w:rsidRPr="002F31C0" w:rsidRDefault="00611A4D" w:rsidP="009A763F">
            <w:pPr>
              <w:pStyle w:val="ListParagraph"/>
              <w:numPr>
                <w:ilvl w:val="0"/>
                <w:numId w:val="2"/>
              </w:numPr>
              <w:spacing w:after="0" w:line="240" w:lineRule="auto"/>
              <w:rPr>
                <w:rFonts w:ascii="Times New Roman" w:hAnsi="Times New Roman" w:cs="Times New Roman"/>
              </w:rPr>
            </w:pPr>
            <w:r w:rsidRPr="002F31C0">
              <w:rPr>
                <w:rFonts w:ascii="Times New Roman" w:hAnsi="Times New Roman" w:cs="Times New Roman"/>
              </w:rPr>
              <w:t>A PowerPoint presentation.</w:t>
            </w:r>
          </w:p>
          <w:p w14:paraId="0AB8D29A" w14:textId="77777777" w:rsidR="00611A4D" w:rsidRPr="002F31C0" w:rsidRDefault="00611A4D" w:rsidP="009A763F">
            <w:pPr>
              <w:pStyle w:val="ListParagraph"/>
              <w:numPr>
                <w:ilvl w:val="0"/>
                <w:numId w:val="2"/>
              </w:numPr>
              <w:spacing w:after="0" w:line="240" w:lineRule="auto"/>
              <w:rPr>
                <w:rFonts w:ascii="Times New Roman" w:hAnsi="Times New Roman" w:cs="Times New Roman"/>
              </w:rPr>
            </w:pPr>
            <w:r w:rsidRPr="002F31C0">
              <w:rPr>
                <w:rFonts w:ascii="Times New Roman" w:hAnsi="Times New Roman" w:cs="Times New Roman"/>
              </w:rPr>
              <w:t>A softcopy of all reports, plans and related GIS and CAD files.</w:t>
            </w:r>
          </w:p>
        </w:tc>
        <w:tc>
          <w:tcPr>
            <w:tcW w:w="2250" w:type="dxa"/>
            <w:tcBorders>
              <w:top w:val="single" w:sz="4" w:space="0" w:color="000000"/>
              <w:bottom w:val="single" w:sz="4" w:space="0" w:color="000000"/>
            </w:tcBorders>
          </w:tcPr>
          <w:p w14:paraId="6F740F3F" w14:textId="77777777" w:rsidR="00611A4D" w:rsidRPr="002F31C0" w:rsidRDefault="00611A4D" w:rsidP="009A763F">
            <w:pPr>
              <w:pStyle w:val="ListParagraph"/>
              <w:spacing w:line="240" w:lineRule="auto"/>
              <w:ind w:left="0"/>
              <w:rPr>
                <w:rFonts w:ascii="Times New Roman" w:hAnsi="Times New Roman" w:cs="Times New Roman"/>
              </w:rPr>
            </w:pPr>
            <w:r>
              <w:rPr>
                <w:rFonts w:ascii="Times New Roman" w:hAnsi="Times New Roman" w:cs="Times New Roman"/>
              </w:rPr>
              <w:t>14</w:t>
            </w:r>
            <w:r w:rsidRPr="002F31C0">
              <w:rPr>
                <w:rFonts w:ascii="Times New Roman" w:hAnsi="Times New Roman" w:cs="Times New Roman"/>
              </w:rPr>
              <w:t xml:space="preserve"> weeks after approval of Assessment report</w:t>
            </w:r>
          </w:p>
        </w:tc>
      </w:tr>
      <w:tr w:rsidR="00611A4D" w:rsidRPr="002F31C0" w14:paraId="02A70010" w14:textId="77777777" w:rsidTr="009A763F">
        <w:trPr>
          <w:trHeight w:val="70"/>
        </w:trPr>
        <w:tc>
          <w:tcPr>
            <w:tcW w:w="7308" w:type="dxa"/>
            <w:gridSpan w:val="3"/>
            <w:tcBorders>
              <w:top w:val="single" w:sz="4" w:space="0" w:color="000000"/>
              <w:bottom w:val="single" w:sz="4" w:space="0" w:color="000000"/>
            </w:tcBorders>
          </w:tcPr>
          <w:p w14:paraId="266CF7EB" w14:textId="77777777" w:rsidR="00611A4D" w:rsidRPr="002F31C0" w:rsidRDefault="00611A4D" w:rsidP="009A763F">
            <w:pPr>
              <w:pStyle w:val="Heading1"/>
              <w:rPr>
                <w:rStyle w:val="Emphasis"/>
                <w:rFonts w:cs="Times New Roman"/>
                <w:b w:val="0"/>
                <w:i w:val="0"/>
                <w:sz w:val="22"/>
              </w:rPr>
            </w:pPr>
            <w:r w:rsidRPr="002F31C0">
              <w:rPr>
                <w:rStyle w:val="Emphasis"/>
                <w:rFonts w:cs="Times New Roman"/>
                <w:b w:val="0"/>
                <w:sz w:val="22"/>
              </w:rPr>
              <w:t>Stakeholder workshop and incorporation of comments</w:t>
            </w:r>
          </w:p>
        </w:tc>
        <w:tc>
          <w:tcPr>
            <w:tcW w:w="2250" w:type="dxa"/>
            <w:tcBorders>
              <w:top w:val="single" w:sz="4" w:space="0" w:color="000000"/>
              <w:bottom w:val="single" w:sz="4" w:space="0" w:color="000000"/>
            </w:tcBorders>
          </w:tcPr>
          <w:p w14:paraId="3D6FBCB3" w14:textId="77777777" w:rsidR="00611A4D" w:rsidRPr="002F31C0" w:rsidRDefault="00611A4D" w:rsidP="009A763F">
            <w:pPr>
              <w:pStyle w:val="Heading1"/>
              <w:rPr>
                <w:rFonts w:cs="Times New Roman"/>
                <w:b w:val="0"/>
                <w:sz w:val="22"/>
              </w:rPr>
            </w:pPr>
            <w:r>
              <w:rPr>
                <w:rFonts w:cs="Times New Roman"/>
                <w:b w:val="0"/>
                <w:sz w:val="22"/>
              </w:rPr>
              <w:t>2</w:t>
            </w:r>
            <w:r w:rsidRPr="002F31C0">
              <w:rPr>
                <w:rFonts w:cs="Times New Roman"/>
                <w:b w:val="0"/>
                <w:sz w:val="22"/>
              </w:rPr>
              <w:t xml:space="preserve"> weeks</w:t>
            </w:r>
          </w:p>
        </w:tc>
      </w:tr>
      <w:tr w:rsidR="00611A4D" w:rsidRPr="002F31C0" w14:paraId="2E323885" w14:textId="77777777" w:rsidTr="009A763F">
        <w:trPr>
          <w:trHeight w:val="323"/>
        </w:trPr>
        <w:tc>
          <w:tcPr>
            <w:tcW w:w="828" w:type="dxa"/>
            <w:tcBorders>
              <w:top w:val="single" w:sz="4" w:space="0" w:color="000000"/>
              <w:bottom w:val="single" w:sz="4" w:space="0" w:color="000000"/>
            </w:tcBorders>
          </w:tcPr>
          <w:p w14:paraId="5BBA21E7" w14:textId="77777777" w:rsidR="00611A4D" w:rsidRPr="002F31C0" w:rsidRDefault="00611A4D" w:rsidP="009A763F">
            <w:pPr>
              <w:spacing w:line="240" w:lineRule="auto"/>
              <w:jc w:val="center"/>
              <w:rPr>
                <w:rFonts w:ascii="Times New Roman" w:hAnsi="Times New Roman" w:cs="Times New Roman"/>
              </w:rPr>
            </w:pPr>
            <w:r w:rsidRPr="002F31C0">
              <w:rPr>
                <w:rFonts w:ascii="Times New Roman" w:hAnsi="Times New Roman" w:cs="Times New Roman"/>
              </w:rPr>
              <w:t xml:space="preserve">3.2 </w:t>
            </w:r>
          </w:p>
        </w:tc>
        <w:tc>
          <w:tcPr>
            <w:tcW w:w="2880" w:type="dxa"/>
            <w:tcBorders>
              <w:top w:val="single" w:sz="4" w:space="0" w:color="000000"/>
              <w:bottom w:val="single" w:sz="4" w:space="0" w:color="000000"/>
            </w:tcBorders>
          </w:tcPr>
          <w:p w14:paraId="0EB38EB0" w14:textId="77777777" w:rsidR="00611A4D" w:rsidRPr="002F31C0" w:rsidRDefault="00611A4D" w:rsidP="009A763F">
            <w:pPr>
              <w:pStyle w:val="ListParagraph"/>
              <w:spacing w:line="240" w:lineRule="auto"/>
              <w:ind w:left="0"/>
              <w:rPr>
                <w:rFonts w:ascii="Times New Roman" w:hAnsi="Times New Roman" w:cs="Times New Roman"/>
                <w:iCs/>
              </w:rPr>
            </w:pPr>
            <w:r>
              <w:rPr>
                <w:rFonts w:ascii="Times New Roman" w:hAnsi="Times New Roman" w:cs="Times New Roman"/>
                <w:iCs/>
              </w:rPr>
              <w:t xml:space="preserve">Site Plans, Local Development Plans, </w:t>
            </w:r>
            <w:r w:rsidRPr="002F31C0">
              <w:rPr>
                <w:rFonts w:ascii="Times New Roman" w:hAnsi="Times New Roman" w:cs="Times New Roman"/>
                <w:iCs/>
              </w:rPr>
              <w:t>Urban Design Plans and Guidelines</w:t>
            </w:r>
          </w:p>
        </w:tc>
        <w:tc>
          <w:tcPr>
            <w:tcW w:w="3600" w:type="dxa"/>
            <w:vMerge w:val="restart"/>
            <w:tcBorders>
              <w:top w:val="single" w:sz="4" w:space="0" w:color="000000"/>
              <w:bottom w:val="single" w:sz="4" w:space="0" w:color="000000"/>
            </w:tcBorders>
          </w:tcPr>
          <w:p w14:paraId="1975B268" w14:textId="77777777" w:rsidR="00611A4D" w:rsidRPr="002F31C0" w:rsidRDefault="00611A4D" w:rsidP="009A763F">
            <w:pPr>
              <w:pStyle w:val="ListParagraph"/>
              <w:numPr>
                <w:ilvl w:val="0"/>
                <w:numId w:val="2"/>
              </w:numPr>
              <w:spacing w:after="0" w:line="240" w:lineRule="auto"/>
              <w:rPr>
                <w:rFonts w:ascii="Times New Roman" w:hAnsi="Times New Roman" w:cs="Times New Roman"/>
              </w:rPr>
            </w:pPr>
            <w:r w:rsidRPr="002F31C0">
              <w:rPr>
                <w:rFonts w:ascii="Times New Roman" w:hAnsi="Times New Roman" w:cs="Times New Roman"/>
              </w:rPr>
              <w:t>3 hardcopy reports in A4 and/or A3 size, plans in A1.</w:t>
            </w:r>
          </w:p>
          <w:p w14:paraId="534A09A9" w14:textId="77777777" w:rsidR="00611A4D" w:rsidRPr="002F31C0" w:rsidRDefault="00611A4D" w:rsidP="009A763F">
            <w:pPr>
              <w:pStyle w:val="ListParagraph"/>
              <w:numPr>
                <w:ilvl w:val="0"/>
                <w:numId w:val="2"/>
              </w:numPr>
              <w:spacing w:after="0" w:line="240" w:lineRule="auto"/>
              <w:rPr>
                <w:rFonts w:ascii="Times New Roman" w:hAnsi="Times New Roman" w:cs="Times New Roman"/>
              </w:rPr>
            </w:pPr>
            <w:r w:rsidRPr="002F31C0">
              <w:rPr>
                <w:rFonts w:ascii="Times New Roman" w:hAnsi="Times New Roman" w:cs="Times New Roman"/>
              </w:rPr>
              <w:t>A PowerPoint presentation.</w:t>
            </w:r>
          </w:p>
          <w:p w14:paraId="5A6175FB" w14:textId="77777777" w:rsidR="00611A4D" w:rsidRPr="002F31C0" w:rsidRDefault="00611A4D" w:rsidP="009A763F">
            <w:pPr>
              <w:pStyle w:val="ListParagraph"/>
              <w:numPr>
                <w:ilvl w:val="0"/>
                <w:numId w:val="2"/>
              </w:numPr>
              <w:autoSpaceDE w:val="0"/>
              <w:autoSpaceDN w:val="0"/>
              <w:adjustRightInd w:val="0"/>
              <w:spacing w:after="0" w:line="240" w:lineRule="auto"/>
              <w:jc w:val="both"/>
              <w:rPr>
                <w:rFonts w:ascii="Times New Roman" w:hAnsi="Times New Roman" w:cs="Times New Roman"/>
                <w:lang w:eastAsia="x-none"/>
              </w:rPr>
            </w:pPr>
            <w:r w:rsidRPr="002F31C0">
              <w:rPr>
                <w:rFonts w:ascii="Times New Roman" w:hAnsi="Times New Roman" w:cs="Times New Roman"/>
              </w:rPr>
              <w:t>A softcopy of all reports, plans and related GIS and CAD files.</w:t>
            </w:r>
          </w:p>
        </w:tc>
        <w:tc>
          <w:tcPr>
            <w:tcW w:w="2250" w:type="dxa"/>
            <w:vMerge w:val="restart"/>
            <w:tcBorders>
              <w:top w:val="single" w:sz="4" w:space="0" w:color="000000"/>
              <w:bottom w:val="single" w:sz="4" w:space="0" w:color="000000"/>
            </w:tcBorders>
          </w:tcPr>
          <w:p w14:paraId="67F7F300" w14:textId="77777777" w:rsidR="00611A4D" w:rsidRPr="002F31C0" w:rsidRDefault="00611A4D" w:rsidP="009A763F">
            <w:pPr>
              <w:pStyle w:val="ListParagraph"/>
              <w:spacing w:line="240" w:lineRule="auto"/>
              <w:ind w:left="0"/>
              <w:rPr>
                <w:rFonts w:ascii="Times New Roman" w:hAnsi="Times New Roman" w:cs="Times New Roman"/>
              </w:rPr>
            </w:pPr>
            <w:r>
              <w:rPr>
                <w:rFonts w:ascii="Times New Roman" w:hAnsi="Times New Roman" w:cs="Times New Roman"/>
              </w:rPr>
              <w:t>6</w:t>
            </w:r>
            <w:r w:rsidRPr="002F31C0">
              <w:rPr>
                <w:rFonts w:ascii="Times New Roman" w:hAnsi="Times New Roman" w:cs="Times New Roman"/>
              </w:rPr>
              <w:t xml:space="preserve"> weeks after receipt of comments on the 1</w:t>
            </w:r>
            <w:r w:rsidRPr="002F31C0">
              <w:rPr>
                <w:rFonts w:ascii="Times New Roman" w:hAnsi="Times New Roman" w:cs="Times New Roman"/>
                <w:vertAlign w:val="superscript"/>
              </w:rPr>
              <w:t>st</w:t>
            </w:r>
            <w:r w:rsidRPr="002F31C0">
              <w:rPr>
                <w:rFonts w:ascii="Times New Roman" w:hAnsi="Times New Roman" w:cs="Times New Roman"/>
              </w:rPr>
              <w:t xml:space="preserve"> draft</w:t>
            </w:r>
          </w:p>
        </w:tc>
      </w:tr>
      <w:tr w:rsidR="00611A4D" w:rsidRPr="002F31C0" w14:paraId="393ED67C" w14:textId="77777777" w:rsidTr="009A763F">
        <w:trPr>
          <w:trHeight w:val="323"/>
        </w:trPr>
        <w:tc>
          <w:tcPr>
            <w:tcW w:w="828" w:type="dxa"/>
            <w:tcBorders>
              <w:top w:val="single" w:sz="4" w:space="0" w:color="000000"/>
              <w:bottom w:val="single" w:sz="4" w:space="0" w:color="000000"/>
            </w:tcBorders>
          </w:tcPr>
          <w:p w14:paraId="57AF00E9" w14:textId="77777777" w:rsidR="00611A4D" w:rsidRPr="002F31C0" w:rsidRDefault="00611A4D" w:rsidP="009A763F">
            <w:pPr>
              <w:spacing w:line="240" w:lineRule="auto"/>
              <w:jc w:val="center"/>
              <w:rPr>
                <w:rFonts w:ascii="Times New Roman" w:hAnsi="Times New Roman" w:cs="Times New Roman"/>
              </w:rPr>
            </w:pPr>
            <w:r w:rsidRPr="002F31C0">
              <w:rPr>
                <w:rFonts w:ascii="Times New Roman" w:hAnsi="Times New Roman" w:cs="Times New Roman"/>
              </w:rPr>
              <w:t>3.3</w:t>
            </w:r>
          </w:p>
        </w:tc>
        <w:tc>
          <w:tcPr>
            <w:tcW w:w="2880" w:type="dxa"/>
            <w:tcBorders>
              <w:top w:val="single" w:sz="4" w:space="0" w:color="000000"/>
              <w:bottom w:val="single" w:sz="4" w:space="0" w:color="000000"/>
            </w:tcBorders>
          </w:tcPr>
          <w:p w14:paraId="6FC2C621" w14:textId="77777777" w:rsidR="00611A4D" w:rsidRPr="002F31C0" w:rsidRDefault="00611A4D" w:rsidP="009A763F">
            <w:pPr>
              <w:pStyle w:val="ListParagraph"/>
              <w:spacing w:line="240" w:lineRule="auto"/>
              <w:ind w:left="0"/>
              <w:rPr>
                <w:rStyle w:val="Emphasis"/>
                <w:rFonts w:ascii="Times New Roman" w:hAnsi="Times New Roman" w:cs="Times New Roman"/>
                <w:i w:val="0"/>
              </w:rPr>
            </w:pPr>
            <w:r w:rsidRPr="002F31C0">
              <w:rPr>
                <w:rStyle w:val="Emphasis"/>
                <w:rFonts w:ascii="Times New Roman" w:hAnsi="Times New Roman" w:cs="Times New Roman"/>
              </w:rPr>
              <w:t>Planning Standards, Development Control, and Enforcement Measures</w:t>
            </w:r>
          </w:p>
        </w:tc>
        <w:tc>
          <w:tcPr>
            <w:tcW w:w="3600" w:type="dxa"/>
            <w:vMerge/>
            <w:tcBorders>
              <w:top w:val="single" w:sz="4" w:space="0" w:color="000000"/>
              <w:bottom w:val="single" w:sz="4" w:space="0" w:color="000000"/>
            </w:tcBorders>
          </w:tcPr>
          <w:p w14:paraId="1E37D7E0" w14:textId="77777777" w:rsidR="00611A4D" w:rsidRPr="002F31C0" w:rsidRDefault="00611A4D" w:rsidP="009A763F">
            <w:pPr>
              <w:pStyle w:val="ListParagraph"/>
              <w:numPr>
                <w:ilvl w:val="0"/>
                <w:numId w:val="2"/>
              </w:numPr>
              <w:spacing w:after="0" w:line="240" w:lineRule="auto"/>
              <w:rPr>
                <w:rFonts w:ascii="Times New Roman" w:hAnsi="Times New Roman" w:cs="Times New Roman"/>
              </w:rPr>
            </w:pPr>
          </w:p>
        </w:tc>
        <w:tc>
          <w:tcPr>
            <w:tcW w:w="2250" w:type="dxa"/>
            <w:vMerge/>
            <w:tcBorders>
              <w:top w:val="single" w:sz="4" w:space="0" w:color="000000"/>
              <w:bottom w:val="single" w:sz="4" w:space="0" w:color="000000"/>
            </w:tcBorders>
          </w:tcPr>
          <w:p w14:paraId="5F6177D4" w14:textId="77777777" w:rsidR="00611A4D" w:rsidRPr="002F31C0" w:rsidRDefault="00611A4D" w:rsidP="009A763F">
            <w:pPr>
              <w:pStyle w:val="ListParagraph"/>
              <w:spacing w:line="240" w:lineRule="auto"/>
              <w:ind w:left="0"/>
              <w:rPr>
                <w:rFonts w:ascii="Times New Roman" w:hAnsi="Times New Roman" w:cs="Times New Roman"/>
              </w:rPr>
            </w:pPr>
          </w:p>
        </w:tc>
      </w:tr>
      <w:tr w:rsidR="00611A4D" w:rsidRPr="002F31C0" w14:paraId="7868B5F5" w14:textId="77777777" w:rsidTr="009A763F">
        <w:trPr>
          <w:trHeight w:val="323"/>
        </w:trPr>
        <w:tc>
          <w:tcPr>
            <w:tcW w:w="828" w:type="dxa"/>
            <w:tcBorders>
              <w:top w:val="single" w:sz="4" w:space="0" w:color="000000"/>
              <w:bottom w:val="single" w:sz="4" w:space="0" w:color="000000"/>
            </w:tcBorders>
          </w:tcPr>
          <w:p w14:paraId="3AB71E0D" w14:textId="77777777" w:rsidR="00611A4D" w:rsidRPr="002F31C0" w:rsidRDefault="00611A4D" w:rsidP="009A763F">
            <w:pPr>
              <w:spacing w:line="240" w:lineRule="auto"/>
              <w:jc w:val="center"/>
              <w:rPr>
                <w:rFonts w:ascii="Times New Roman" w:hAnsi="Times New Roman" w:cs="Times New Roman"/>
              </w:rPr>
            </w:pPr>
            <w:r w:rsidRPr="002F31C0">
              <w:rPr>
                <w:rFonts w:ascii="Times New Roman" w:hAnsi="Times New Roman" w:cs="Times New Roman"/>
              </w:rPr>
              <w:t>3.4</w:t>
            </w:r>
          </w:p>
        </w:tc>
        <w:tc>
          <w:tcPr>
            <w:tcW w:w="2880" w:type="dxa"/>
            <w:tcBorders>
              <w:top w:val="single" w:sz="4" w:space="0" w:color="000000"/>
              <w:bottom w:val="single" w:sz="4" w:space="0" w:color="000000"/>
            </w:tcBorders>
          </w:tcPr>
          <w:p w14:paraId="1E08ABBF" w14:textId="77777777" w:rsidR="00611A4D" w:rsidRPr="002F31C0" w:rsidRDefault="00611A4D" w:rsidP="009A763F">
            <w:pPr>
              <w:pStyle w:val="ListParagraph"/>
              <w:spacing w:line="240" w:lineRule="auto"/>
              <w:ind w:left="0"/>
              <w:rPr>
                <w:rStyle w:val="Emphasis"/>
                <w:rFonts w:ascii="Times New Roman" w:hAnsi="Times New Roman" w:cs="Times New Roman"/>
                <w:i w:val="0"/>
              </w:rPr>
            </w:pPr>
            <w:r w:rsidRPr="002F31C0">
              <w:rPr>
                <w:rStyle w:val="Emphasis"/>
                <w:rFonts w:ascii="Times New Roman" w:hAnsi="Times New Roman" w:cs="Times New Roman"/>
              </w:rPr>
              <w:t>Investment and Implementation Plan</w:t>
            </w:r>
          </w:p>
        </w:tc>
        <w:tc>
          <w:tcPr>
            <w:tcW w:w="3600" w:type="dxa"/>
            <w:vMerge/>
            <w:tcBorders>
              <w:top w:val="single" w:sz="4" w:space="0" w:color="000000"/>
              <w:bottom w:val="single" w:sz="4" w:space="0" w:color="000000"/>
            </w:tcBorders>
          </w:tcPr>
          <w:p w14:paraId="4DB17BC1" w14:textId="77777777" w:rsidR="00611A4D" w:rsidRPr="002F31C0" w:rsidRDefault="00611A4D" w:rsidP="009A763F">
            <w:pPr>
              <w:pStyle w:val="ListParagraph"/>
              <w:numPr>
                <w:ilvl w:val="0"/>
                <w:numId w:val="2"/>
              </w:numPr>
              <w:spacing w:after="0" w:line="240" w:lineRule="auto"/>
              <w:rPr>
                <w:rFonts w:ascii="Times New Roman" w:hAnsi="Times New Roman" w:cs="Times New Roman"/>
              </w:rPr>
            </w:pPr>
          </w:p>
        </w:tc>
        <w:tc>
          <w:tcPr>
            <w:tcW w:w="2250" w:type="dxa"/>
            <w:vMerge/>
            <w:tcBorders>
              <w:top w:val="single" w:sz="4" w:space="0" w:color="000000"/>
              <w:bottom w:val="single" w:sz="4" w:space="0" w:color="000000"/>
            </w:tcBorders>
          </w:tcPr>
          <w:p w14:paraId="2CE56BE3" w14:textId="77777777" w:rsidR="00611A4D" w:rsidRPr="002F31C0" w:rsidRDefault="00611A4D" w:rsidP="009A763F">
            <w:pPr>
              <w:pStyle w:val="ListParagraph"/>
              <w:spacing w:line="240" w:lineRule="auto"/>
              <w:ind w:left="0"/>
              <w:rPr>
                <w:rFonts w:ascii="Times New Roman" w:hAnsi="Times New Roman" w:cs="Times New Roman"/>
              </w:rPr>
            </w:pPr>
          </w:p>
        </w:tc>
      </w:tr>
      <w:tr w:rsidR="00611A4D" w:rsidRPr="002F31C0" w14:paraId="70312A40" w14:textId="77777777" w:rsidTr="009A763F">
        <w:trPr>
          <w:trHeight w:val="323"/>
        </w:trPr>
        <w:tc>
          <w:tcPr>
            <w:tcW w:w="7308" w:type="dxa"/>
            <w:gridSpan w:val="3"/>
            <w:tcBorders>
              <w:top w:val="single" w:sz="4" w:space="0" w:color="000000"/>
              <w:bottom w:val="single" w:sz="4" w:space="0" w:color="000000"/>
            </w:tcBorders>
          </w:tcPr>
          <w:p w14:paraId="641977AE" w14:textId="77777777" w:rsidR="00611A4D" w:rsidRPr="002F31C0" w:rsidRDefault="00611A4D" w:rsidP="009A763F">
            <w:pPr>
              <w:spacing w:after="0" w:line="240" w:lineRule="auto"/>
              <w:rPr>
                <w:rFonts w:ascii="Times New Roman" w:hAnsi="Times New Roman" w:cs="Times New Roman"/>
              </w:rPr>
            </w:pPr>
            <w:r w:rsidRPr="002F31C0">
              <w:rPr>
                <w:rStyle w:val="Emphasis"/>
                <w:rFonts w:ascii="Times New Roman" w:hAnsi="Times New Roman" w:cs="Times New Roman"/>
              </w:rPr>
              <w:t>Review and incorporation of comments into final version</w:t>
            </w:r>
          </w:p>
        </w:tc>
        <w:tc>
          <w:tcPr>
            <w:tcW w:w="2250" w:type="dxa"/>
            <w:tcBorders>
              <w:top w:val="single" w:sz="4" w:space="0" w:color="000000"/>
              <w:bottom w:val="single" w:sz="4" w:space="0" w:color="000000"/>
            </w:tcBorders>
          </w:tcPr>
          <w:p w14:paraId="40113BD5" w14:textId="77777777" w:rsidR="00611A4D" w:rsidRPr="002F31C0" w:rsidRDefault="00611A4D" w:rsidP="009A763F">
            <w:pPr>
              <w:pStyle w:val="ListParagraph"/>
              <w:spacing w:line="240" w:lineRule="auto"/>
              <w:ind w:left="0"/>
              <w:rPr>
                <w:rFonts w:ascii="Times New Roman" w:hAnsi="Times New Roman" w:cs="Times New Roman"/>
              </w:rPr>
            </w:pPr>
            <w:r w:rsidRPr="002F31C0">
              <w:rPr>
                <w:rFonts w:ascii="Times New Roman" w:hAnsi="Times New Roman" w:cs="Times New Roman"/>
              </w:rPr>
              <w:t>2 weeks</w:t>
            </w:r>
          </w:p>
        </w:tc>
      </w:tr>
    </w:tbl>
    <w:p w14:paraId="292ECB38" w14:textId="77777777" w:rsidR="00611A4D" w:rsidRPr="002F31C0" w:rsidRDefault="00611A4D" w:rsidP="00611A4D">
      <w:pPr>
        <w:spacing w:line="240" w:lineRule="auto"/>
        <w:jc w:val="both"/>
        <w:rPr>
          <w:rFonts w:ascii="Times New Roman" w:hAnsi="Times New Roman" w:cs="Times New Roman"/>
        </w:rPr>
      </w:pPr>
    </w:p>
    <w:p w14:paraId="0336E177" w14:textId="77777777" w:rsidR="00611A4D" w:rsidRPr="002F31C0" w:rsidRDefault="00611A4D" w:rsidP="00611A4D">
      <w:pPr>
        <w:spacing w:line="240" w:lineRule="auto"/>
        <w:jc w:val="both"/>
        <w:rPr>
          <w:rFonts w:ascii="Times New Roman" w:hAnsi="Times New Roman" w:cs="Times New Roman"/>
          <w:b/>
        </w:rPr>
      </w:pPr>
      <w:r w:rsidRPr="002F31C0">
        <w:rPr>
          <w:rFonts w:ascii="Times New Roman" w:hAnsi="Times New Roman" w:cs="Times New Roman"/>
          <w:b/>
        </w:rPr>
        <w:t>Detailed Scope of Consultancy</w:t>
      </w:r>
    </w:p>
    <w:p w14:paraId="6B743598" w14:textId="77777777" w:rsidR="00611A4D" w:rsidRPr="002F31C0" w:rsidRDefault="00611A4D" w:rsidP="00E16442">
      <w:pPr>
        <w:pStyle w:val="ListParagraph"/>
        <w:numPr>
          <w:ilvl w:val="0"/>
          <w:numId w:val="39"/>
        </w:numPr>
        <w:spacing w:line="240" w:lineRule="auto"/>
        <w:jc w:val="both"/>
        <w:rPr>
          <w:rFonts w:ascii="Times New Roman" w:hAnsi="Times New Roman" w:cs="Times New Roman"/>
        </w:rPr>
      </w:pPr>
      <w:r w:rsidRPr="002F31C0">
        <w:rPr>
          <w:rFonts w:ascii="Times New Roman" w:hAnsi="Times New Roman" w:cs="Times New Roman"/>
        </w:rPr>
        <w:t xml:space="preserve"> The following outlines the necessary phases in the development of the urban development master plan.  The Consultant Team is expected to further refine these activities with sub-tasks.  </w:t>
      </w:r>
    </w:p>
    <w:p w14:paraId="6438FE3B" w14:textId="77777777" w:rsidR="00611A4D" w:rsidRPr="002F31C0" w:rsidRDefault="00611A4D" w:rsidP="00611A4D">
      <w:pPr>
        <w:pStyle w:val="Heading2"/>
        <w:spacing w:line="240" w:lineRule="auto"/>
        <w:rPr>
          <w:rFonts w:ascii="Times New Roman" w:hAnsi="Times New Roman" w:cs="Times New Roman"/>
          <w:b/>
          <w:color w:val="auto"/>
          <w:sz w:val="22"/>
          <w:szCs w:val="22"/>
          <w:u w:val="single"/>
        </w:rPr>
      </w:pPr>
      <w:r w:rsidRPr="002F31C0">
        <w:rPr>
          <w:rFonts w:ascii="Times New Roman" w:hAnsi="Times New Roman" w:cs="Times New Roman"/>
          <w:b/>
          <w:color w:val="auto"/>
          <w:sz w:val="22"/>
          <w:szCs w:val="22"/>
          <w:u w:val="single"/>
        </w:rPr>
        <w:t>Phase 1: Inception</w:t>
      </w:r>
    </w:p>
    <w:p w14:paraId="797E117F" w14:textId="77777777" w:rsidR="00611A4D" w:rsidRPr="002F31C0" w:rsidRDefault="00611A4D" w:rsidP="00611A4D">
      <w:pPr>
        <w:pStyle w:val="Heading3"/>
        <w:rPr>
          <w:rFonts w:cs="Times New Roman"/>
          <w:sz w:val="22"/>
        </w:rPr>
      </w:pPr>
      <w:r w:rsidRPr="002F31C0">
        <w:rPr>
          <w:rFonts w:cs="Times New Roman"/>
          <w:sz w:val="22"/>
        </w:rPr>
        <w:t>Inception Report</w:t>
      </w:r>
    </w:p>
    <w:p w14:paraId="74721CD6" w14:textId="0DF0340B" w:rsidR="00611A4D" w:rsidRPr="002F31C0" w:rsidRDefault="00611A4D" w:rsidP="00E16442">
      <w:pPr>
        <w:pStyle w:val="Paragraph"/>
        <w:numPr>
          <w:ilvl w:val="0"/>
          <w:numId w:val="30"/>
        </w:numPr>
        <w:rPr>
          <w:sz w:val="22"/>
          <w:szCs w:val="22"/>
        </w:rPr>
      </w:pPr>
      <w:r w:rsidRPr="002F31C0">
        <w:rPr>
          <w:sz w:val="22"/>
          <w:szCs w:val="22"/>
        </w:rPr>
        <w:t>Two weeks after contract commencement, an inception report should be submitted. The report should cover: (</w:t>
      </w:r>
      <w:proofErr w:type="spellStart"/>
      <w:r w:rsidRPr="002F31C0">
        <w:rPr>
          <w:sz w:val="22"/>
          <w:szCs w:val="22"/>
        </w:rPr>
        <w:t>i</w:t>
      </w:r>
      <w:proofErr w:type="spellEnd"/>
      <w:r w:rsidRPr="002F31C0">
        <w:rPr>
          <w:sz w:val="22"/>
          <w:szCs w:val="22"/>
        </w:rPr>
        <w:t xml:space="preserve">) overall assignment objectives and strategies; (ii) a work plan - outlining project sub-tasks, methodology, timeline, dedicated resources etc.; (iii) list of key and supporting staff, their qualifications and experiences, tasks assigned and time allocations; (iv) literature reviewed and data referred; (v) list of reports, drawings and maps to be submitted; (vi) outline of a strategy for engaging various stakeholders, questionnaires/checklists for information gathering, key respondents to be interviewed and consulted </w:t>
      </w:r>
      <w:proofErr w:type="spellStart"/>
      <w:r w:rsidRPr="002F31C0">
        <w:rPr>
          <w:sz w:val="22"/>
          <w:szCs w:val="22"/>
        </w:rPr>
        <w:t>etc</w:t>
      </w:r>
      <w:proofErr w:type="spellEnd"/>
      <w:r w:rsidR="00211257">
        <w:rPr>
          <w:sz w:val="22"/>
          <w:szCs w:val="22"/>
        </w:rPr>
        <w:t xml:space="preserve">, </w:t>
      </w:r>
      <w:r w:rsidR="005C2E1A">
        <w:rPr>
          <w:sz w:val="22"/>
          <w:szCs w:val="22"/>
        </w:rPr>
        <w:t xml:space="preserve">potential </w:t>
      </w:r>
      <w:r w:rsidR="00211257">
        <w:rPr>
          <w:sz w:val="22"/>
          <w:szCs w:val="22"/>
        </w:rPr>
        <w:t>capacity building activities</w:t>
      </w:r>
      <w:r w:rsidRPr="002F31C0">
        <w:rPr>
          <w:sz w:val="22"/>
          <w:szCs w:val="22"/>
        </w:rPr>
        <w:t>.; and (vii) planned field visits.</w:t>
      </w:r>
    </w:p>
    <w:p w14:paraId="58C92691" w14:textId="77777777" w:rsidR="00611A4D" w:rsidRPr="002F31C0" w:rsidRDefault="00611A4D" w:rsidP="00611A4D">
      <w:pPr>
        <w:pStyle w:val="Heading3"/>
        <w:rPr>
          <w:rFonts w:cs="Times New Roman"/>
          <w:sz w:val="22"/>
        </w:rPr>
      </w:pPr>
    </w:p>
    <w:p w14:paraId="37D96703" w14:textId="49A9AF53" w:rsidR="00611A4D" w:rsidRPr="002F31C0" w:rsidRDefault="00611A4D" w:rsidP="00611A4D">
      <w:pPr>
        <w:pStyle w:val="Heading3"/>
        <w:rPr>
          <w:rFonts w:cs="Times New Roman"/>
          <w:sz w:val="22"/>
        </w:rPr>
      </w:pPr>
      <w:r w:rsidRPr="002F31C0">
        <w:rPr>
          <w:rFonts w:cs="Times New Roman"/>
          <w:sz w:val="22"/>
        </w:rPr>
        <w:t>Communications</w:t>
      </w:r>
      <w:r w:rsidR="00211257">
        <w:rPr>
          <w:rFonts w:cs="Times New Roman"/>
          <w:sz w:val="22"/>
        </w:rPr>
        <w:t>,</w:t>
      </w:r>
      <w:r w:rsidRPr="002F31C0">
        <w:rPr>
          <w:rFonts w:cs="Times New Roman"/>
          <w:sz w:val="22"/>
        </w:rPr>
        <w:t xml:space="preserve"> Engagement</w:t>
      </w:r>
      <w:r w:rsidR="00211257">
        <w:rPr>
          <w:rFonts w:cs="Times New Roman"/>
          <w:sz w:val="22"/>
        </w:rPr>
        <w:t xml:space="preserve"> and Capacity Building Strategy</w:t>
      </w:r>
    </w:p>
    <w:p w14:paraId="2A51ABDE" w14:textId="6A604DE7" w:rsidR="00611A4D" w:rsidRPr="002F31C0" w:rsidRDefault="00611A4D" w:rsidP="00E16442">
      <w:pPr>
        <w:pStyle w:val="Paragraph"/>
        <w:numPr>
          <w:ilvl w:val="0"/>
          <w:numId w:val="31"/>
        </w:numPr>
        <w:rPr>
          <w:sz w:val="22"/>
          <w:szCs w:val="22"/>
        </w:rPr>
      </w:pPr>
      <w:r w:rsidRPr="002F31C0">
        <w:rPr>
          <w:sz w:val="22"/>
          <w:szCs w:val="22"/>
        </w:rPr>
        <w:t>A Communications</w:t>
      </w:r>
      <w:r w:rsidR="00211257">
        <w:rPr>
          <w:sz w:val="22"/>
          <w:szCs w:val="22"/>
        </w:rPr>
        <w:t>,</w:t>
      </w:r>
      <w:r w:rsidRPr="002F31C0">
        <w:rPr>
          <w:sz w:val="22"/>
          <w:szCs w:val="22"/>
        </w:rPr>
        <w:t xml:space="preserve"> Engagement </w:t>
      </w:r>
      <w:r w:rsidR="00211257">
        <w:rPr>
          <w:sz w:val="22"/>
          <w:szCs w:val="22"/>
        </w:rPr>
        <w:t xml:space="preserve">and Capacity Building </w:t>
      </w:r>
      <w:r w:rsidRPr="002F31C0">
        <w:rPr>
          <w:sz w:val="22"/>
          <w:szCs w:val="22"/>
        </w:rPr>
        <w:t>Strategy is to be developed at the start of the consultancy for the purpose of engaging stakeholders during the planning process. The strategy will: (</w:t>
      </w:r>
      <w:proofErr w:type="spellStart"/>
      <w:r w:rsidRPr="002F31C0">
        <w:rPr>
          <w:sz w:val="22"/>
          <w:szCs w:val="22"/>
        </w:rPr>
        <w:t>i</w:t>
      </w:r>
      <w:proofErr w:type="spellEnd"/>
      <w:r w:rsidRPr="002F31C0">
        <w:rPr>
          <w:sz w:val="22"/>
          <w:szCs w:val="22"/>
        </w:rPr>
        <w:t>) identify key groups of stakeholder and mobilization strategies for these groups; (ii) propose key messages to be disseminated, and the best ways of delivering them</w:t>
      </w:r>
      <w:r w:rsidR="00211257">
        <w:rPr>
          <w:sz w:val="22"/>
          <w:szCs w:val="22"/>
        </w:rPr>
        <w:t>; and (iii) propose capacity building activities and training</w:t>
      </w:r>
      <w:r w:rsidRPr="002F31C0">
        <w:rPr>
          <w:sz w:val="22"/>
          <w:szCs w:val="22"/>
        </w:rPr>
        <w:t>. The Consultant Team will also propose plan dissemination strategies to be used once the plans are approved.</w:t>
      </w:r>
    </w:p>
    <w:p w14:paraId="1A3B2BF5" w14:textId="77777777" w:rsidR="00611A4D" w:rsidRPr="002F31C0" w:rsidRDefault="00611A4D" w:rsidP="00611A4D">
      <w:pPr>
        <w:pStyle w:val="Paragraph"/>
        <w:numPr>
          <w:ilvl w:val="0"/>
          <w:numId w:val="0"/>
        </w:numPr>
        <w:ind w:left="720"/>
        <w:rPr>
          <w:sz w:val="22"/>
          <w:szCs w:val="22"/>
        </w:rPr>
      </w:pPr>
    </w:p>
    <w:p w14:paraId="6B121458" w14:textId="474D4AF2" w:rsidR="00611A4D" w:rsidRPr="002F31C0" w:rsidRDefault="00611A4D" w:rsidP="00E16442">
      <w:pPr>
        <w:pStyle w:val="Paragraph"/>
        <w:numPr>
          <w:ilvl w:val="0"/>
          <w:numId w:val="31"/>
        </w:numPr>
        <w:rPr>
          <w:sz w:val="22"/>
          <w:szCs w:val="22"/>
        </w:rPr>
      </w:pPr>
      <w:r w:rsidRPr="002F31C0">
        <w:rPr>
          <w:sz w:val="22"/>
          <w:szCs w:val="22"/>
        </w:rPr>
        <w:t xml:space="preserve">The Consultant is required at each stage of the work to closely coordinate with the </w:t>
      </w:r>
      <w:r>
        <w:rPr>
          <w:sz w:val="22"/>
          <w:szCs w:val="22"/>
        </w:rPr>
        <w:t>Regions’ City Councils,</w:t>
      </w:r>
      <w:r w:rsidRPr="00F00701">
        <w:rPr>
          <w:sz w:val="22"/>
          <w:szCs w:val="22"/>
        </w:rPr>
        <w:t xml:space="preserve"> </w:t>
      </w:r>
      <w:r w:rsidRPr="002F31C0">
        <w:rPr>
          <w:sz w:val="22"/>
          <w:szCs w:val="22"/>
        </w:rPr>
        <w:t xml:space="preserve">MNPI, and other stakeholder agencies. </w:t>
      </w:r>
      <w:r w:rsidR="00211257" w:rsidRPr="00E16442">
        <w:rPr>
          <w:sz w:val="22"/>
          <w:szCs w:val="22"/>
        </w:rPr>
        <w:t xml:space="preserve">The </w:t>
      </w:r>
      <w:r w:rsidR="00211257">
        <w:rPr>
          <w:sz w:val="22"/>
          <w:szCs w:val="22"/>
        </w:rPr>
        <w:t>Consultant</w:t>
      </w:r>
      <w:r w:rsidR="00211257" w:rsidRPr="00E16442">
        <w:rPr>
          <w:sz w:val="22"/>
          <w:szCs w:val="22"/>
        </w:rPr>
        <w:t xml:space="preserve"> will support a range of technical assistance and capacity building activities to build urban planning capacity</w:t>
      </w:r>
      <w:r w:rsidR="00211257">
        <w:rPr>
          <w:sz w:val="22"/>
          <w:szCs w:val="22"/>
        </w:rPr>
        <w:t xml:space="preserve"> throughout the consultancy.</w:t>
      </w:r>
      <w:r w:rsidRPr="002F31C0">
        <w:rPr>
          <w:sz w:val="22"/>
          <w:szCs w:val="22"/>
        </w:rPr>
        <w:t xml:space="preserve"> Any comments, advice and instructions on study/design works should be strictly and immediately executed by the Consultant Team.  The nature and frequency of coordination and consultation meetings shall be determined by discussion between the Consultant Team and the Client.</w:t>
      </w:r>
    </w:p>
    <w:p w14:paraId="2FA3529B" w14:textId="77777777" w:rsidR="00611A4D" w:rsidRPr="002F31C0" w:rsidRDefault="00611A4D" w:rsidP="00611A4D">
      <w:pPr>
        <w:pStyle w:val="Paragraph"/>
        <w:numPr>
          <w:ilvl w:val="0"/>
          <w:numId w:val="0"/>
        </w:numPr>
        <w:ind w:left="720"/>
        <w:rPr>
          <w:sz w:val="22"/>
          <w:szCs w:val="22"/>
        </w:rPr>
      </w:pPr>
    </w:p>
    <w:p w14:paraId="27A4C7AC" w14:textId="0641345D" w:rsidR="00611A4D" w:rsidRPr="002F31C0" w:rsidRDefault="00611A4D" w:rsidP="00E16442">
      <w:pPr>
        <w:pStyle w:val="Paragraph"/>
        <w:numPr>
          <w:ilvl w:val="0"/>
          <w:numId w:val="31"/>
        </w:numPr>
        <w:rPr>
          <w:sz w:val="22"/>
          <w:szCs w:val="22"/>
        </w:rPr>
      </w:pPr>
      <w:r w:rsidRPr="002F31C0">
        <w:rPr>
          <w:sz w:val="22"/>
          <w:szCs w:val="22"/>
        </w:rPr>
        <w:t xml:space="preserve">The Consultant Team shall organize a minimum of </w:t>
      </w:r>
      <w:r w:rsidR="00EF6B2C">
        <w:rPr>
          <w:sz w:val="22"/>
          <w:szCs w:val="22"/>
        </w:rPr>
        <w:t>two</w:t>
      </w:r>
      <w:r w:rsidRPr="002F31C0">
        <w:rPr>
          <w:sz w:val="22"/>
          <w:szCs w:val="22"/>
        </w:rPr>
        <w:t xml:space="preserve"> public consultation meetings</w:t>
      </w:r>
      <w:r w:rsidR="00BC125C">
        <w:rPr>
          <w:sz w:val="22"/>
          <w:szCs w:val="22"/>
        </w:rPr>
        <w:t>.</w:t>
      </w:r>
    </w:p>
    <w:p w14:paraId="778CD045" w14:textId="77777777" w:rsidR="00611A4D" w:rsidRPr="002F31C0" w:rsidRDefault="00611A4D" w:rsidP="00611A4D">
      <w:pPr>
        <w:pStyle w:val="ListParagraph"/>
        <w:spacing w:line="240" w:lineRule="auto"/>
        <w:rPr>
          <w:rFonts w:ascii="Times New Roman" w:hAnsi="Times New Roman" w:cs="Times New Roman"/>
        </w:rPr>
      </w:pPr>
    </w:p>
    <w:p w14:paraId="701EEF82" w14:textId="77777777" w:rsidR="00611A4D" w:rsidRPr="002F31C0" w:rsidRDefault="00611A4D" w:rsidP="00611A4D">
      <w:pPr>
        <w:pStyle w:val="Heading2"/>
        <w:spacing w:line="240" w:lineRule="auto"/>
        <w:rPr>
          <w:rFonts w:ascii="Times New Roman" w:hAnsi="Times New Roman" w:cs="Times New Roman"/>
          <w:b/>
          <w:color w:val="auto"/>
          <w:sz w:val="22"/>
          <w:szCs w:val="22"/>
          <w:u w:val="single"/>
        </w:rPr>
      </w:pPr>
      <w:r w:rsidRPr="002F31C0">
        <w:rPr>
          <w:rFonts w:ascii="Times New Roman" w:hAnsi="Times New Roman" w:cs="Times New Roman"/>
          <w:b/>
          <w:color w:val="auto"/>
          <w:sz w:val="22"/>
          <w:szCs w:val="22"/>
          <w:u w:val="single"/>
        </w:rPr>
        <w:lastRenderedPageBreak/>
        <w:t>Phase 2: NSP/SUDMP Assessment</w:t>
      </w:r>
    </w:p>
    <w:p w14:paraId="6DD74596" w14:textId="77777777" w:rsidR="00611A4D" w:rsidRPr="002F31C0" w:rsidRDefault="00611A4D" w:rsidP="00611A4D">
      <w:pPr>
        <w:spacing w:after="0" w:line="240" w:lineRule="auto"/>
        <w:rPr>
          <w:rFonts w:ascii="Times New Roman" w:hAnsi="Times New Roman" w:cs="Times New Roman"/>
          <w:u w:val="single"/>
        </w:rPr>
      </w:pPr>
      <w:r w:rsidRPr="002F31C0">
        <w:rPr>
          <w:rFonts w:ascii="Times New Roman" w:hAnsi="Times New Roman" w:cs="Times New Roman"/>
          <w:u w:val="single"/>
        </w:rPr>
        <w:t>Assessment of NSP and SUDMP</w:t>
      </w:r>
    </w:p>
    <w:p w14:paraId="769572F7" w14:textId="02416CFB" w:rsidR="00611A4D" w:rsidRPr="002F31C0" w:rsidRDefault="00611A4D" w:rsidP="00E16442">
      <w:pPr>
        <w:pStyle w:val="Paragraph"/>
        <w:numPr>
          <w:ilvl w:val="0"/>
          <w:numId w:val="32"/>
        </w:numPr>
        <w:rPr>
          <w:sz w:val="22"/>
          <w:szCs w:val="22"/>
        </w:rPr>
      </w:pPr>
      <w:r w:rsidRPr="002F31C0">
        <w:rPr>
          <w:sz w:val="22"/>
          <w:szCs w:val="22"/>
        </w:rPr>
        <w:t>In 2018, MNPI was formed and tasked with creating and implementing a more balanced, regional development plan.  The Ministry has requested an independent assessment of the NSP implementation works.  The review should include: (</w:t>
      </w:r>
      <w:proofErr w:type="spellStart"/>
      <w:r w:rsidRPr="002F31C0">
        <w:rPr>
          <w:sz w:val="22"/>
          <w:szCs w:val="22"/>
        </w:rPr>
        <w:t>i</w:t>
      </w:r>
      <w:proofErr w:type="spellEnd"/>
      <w:r w:rsidRPr="002F31C0">
        <w:rPr>
          <w:sz w:val="22"/>
          <w:szCs w:val="22"/>
        </w:rPr>
        <w:t xml:space="preserve">) a benchmarking exercise against similar regional and international examples; (ii) consultations with technical and economic agencies; (iii) roadmap of the policy’s implementation.  Using </w:t>
      </w:r>
      <w:r w:rsidR="00333FF7">
        <w:rPr>
          <w:sz w:val="22"/>
          <w:szCs w:val="22"/>
        </w:rPr>
        <w:t xml:space="preserve">the </w:t>
      </w:r>
      <w:proofErr w:type="spellStart"/>
      <w:r w:rsidRPr="002F31C0">
        <w:rPr>
          <w:sz w:val="22"/>
          <w:szCs w:val="22"/>
        </w:rPr>
        <w:t>Addu</w:t>
      </w:r>
      <w:proofErr w:type="spellEnd"/>
      <w:r>
        <w:rPr>
          <w:sz w:val="22"/>
          <w:szCs w:val="22"/>
        </w:rPr>
        <w:t xml:space="preserve"> Urban Center </w:t>
      </w:r>
      <w:r w:rsidRPr="002F31C0">
        <w:rPr>
          <w:sz w:val="22"/>
          <w:szCs w:val="22"/>
        </w:rPr>
        <w:t>as</w:t>
      </w:r>
      <w:r>
        <w:rPr>
          <w:sz w:val="22"/>
          <w:szCs w:val="22"/>
        </w:rPr>
        <w:t xml:space="preserve"> </w:t>
      </w:r>
      <w:r w:rsidR="00BB1E64">
        <w:rPr>
          <w:sz w:val="22"/>
          <w:szCs w:val="22"/>
        </w:rPr>
        <w:t xml:space="preserve">a </w:t>
      </w:r>
      <w:r w:rsidRPr="002F31C0">
        <w:rPr>
          <w:sz w:val="22"/>
          <w:szCs w:val="22"/>
        </w:rPr>
        <w:t>case stud</w:t>
      </w:r>
      <w:r w:rsidR="00BB1E64">
        <w:rPr>
          <w:sz w:val="22"/>
          <w:szCs w:val="22"/>
        </w:rPr>
        <w:t>y</w:t>
      </w:r>
      <w:r w:rsidRPr="002F31C0">
        <w:rPr>
          <w:sz w:val="22"/>
          <w:szCs w:val="22"/>
        </w:rPr>
        <w:t>, activities should also include, but not be limited to: (</w:t>
      </w:r>
      <w:proofErr w:type="spellStart"/>
      <w:r w:rsidRPr="002F31C0">
        <w:rPr>
          <w:sz w:val="22"/>
          <w:szCs w:val="22"/>
        </w:rPr>
        <w:t>i</w:t>
      </w:r>
      <w:proofErr w:type="spellEnd"/>
      <w:r w:rsidRPr="002F31C0">
        <w:rPr>
          <w:sz w:val="22"/>
          <w:szCs w:val="22"/>
        </w:rPr>
        <w:t xml:space="preserve">) propose and recommend suitable options to structure the </w:t>
      </w:r>
      <w:r>
        <w:rPr>
          <w:sz w:val="22"/>
          <w:szCs w:val="22"/>
        </w:rPr>
        <w:t xml:space="preserve">planned and/or </w:t>
      </w:r>
      <w:r w:rsidRPr="002F31C0">
        <w:rPr>
          <w:sz w:val="22"/>
          <w:szCs w:val="22"/>
        </w:rPr>
        <w:t xml:space="preserve">required infrastructure within </w:t>
      </w:r>
      <w:r>
        <w:rPr>
          <w:sz w:val="22"/>
          <w:szCs w:val="22"/>
        </w:rPr>
        <w:t>each Region</w:t>
      </w:r>
      <w:r w:rsidRPr="002F31C0">
        <w:rPr>
          <w:sz w:val="22"/>
          <w:szCs w:val="22"/>
        </w:rPr>
        <w:t xml:space="preserve">; (ii) overlay key constraints (e.g. environmentally sensitive areas, infrastructure gaps, etc.) and areas for opportunities (e.g. under-developed, under serviced areas, etc.); (iii) </w:t>
      </w:r>
      <w:r>
        <w:rPr>
          <w:sz w:val="22"/>
          <w:szCs w:val="22"/>
        </w:rPr>
        <w:t>d</w:t>
      </w:r>
      <w:r w:rsidRPr="002F31C0">
        <w:rPr>
          <w:sz w:val="22"/>
          <w:szCs w:val="22"/>
        </w:rPr>
        <w:t xml:space="preserve">efine appropriate strategic key planning parameters to meet the NSP vision such as, but not limited to: planned/target population and activities (include different scenarios where appropriate, e.g. high, medium, low growth); incorporation of the NSP into the SUDMP determination of timeline milestones. </w:t>
      </w:r>
    </w:p>
    <w:p w14:paraId="5E686816" w14:textId="77777777" w:rsidR="00611A4D" w:rsidRPr="002F31C0" w:rsidRDefault="00611A4D" w:rsidP="00611A4D">
      <w:pPr>
        <w:pStyle w:val="Paragraph"/>
        <w:numPr>
          <w:ilvl w:val="0"/>
          <w:numId w:val="0"/>
        </w:numPr>
        <w:ind w:left="720"/>
        <w:rPr>
          <w:sz w:val="22"/>
          <w:szCs w:val="22"/>
        </w:rPr>
      </w:pPr>
    </w:p>
    <w:p w14:paraId="666E05A8" w14:textId="1025339A" w:rsidR="00611A4D" w:rsidRPr="002F31C0" w:rsidRDefault="00611A4D" w:rsidP="00E16442">
      <w:pPr>
        <w:pStyle w:val="Paragraph"/>
        <w:numPr>
          <w:ilvl w:val="0"/>
          <w:numId w:val="32"/>
        </w:numPr>
        <w:rPr>
          <w:sz w:val="22"/>
          <w:szCs w:val="22"/>
        </w:rPr>
      </w:pPr>
      <w:r w:rsidRPr="002F31C0">
        <w:rPr>
          <w:sz w:val="22"/>
          <w:szCs w:val="22"/>
        </w:rPr>
        <w:t xml:space="preserve">The </w:t>
      </w:r>
      <w:proofErr w:type="spellStart"/>
      <w:r w:rsidRPr="002F31C0">
        <w:rPr>
          <w:sz w:val="22"/>
          <w:szCs w:val="22"/>
        </w:rPr>
        <w:t>Addu</w:t>
      </w:r>
      <w:proofErr w:type="spellEnd"/>
      <w:r w:rsidRPr="002F31C0">
        <w:rPr>
          <w:sz w:val="22"/>
          <w:szCs w:val="22"/>
        </w:rPr>
        <w:t xml:space="preserve"> City Council has hired a consultant to update the atoll’s land use plan and develop a master plan.  This work will immediately precede this consultancy; however, it will be critical that there is coordination between the two teams.  The review of SUDMP will not recreate the work, however, it will provide an evaluation of how the </w:t>
      </w:r>
      <w:r w:rsidR="00AC1594">
        <w:rPr>
          <w:sz w:val="22"/>
          <w:szCs w:val="22"/>
        </w:rPr>
        <w:t xml:space="preserve">updated </w:t>
      </w:r>
      <w:r w:rsidRPr="002F31C0">
        <w:rPr>
          <w:sz w:val="22"/>
          <w:szCs w:val="22"/>
        </w:rPr>
        <w:t>Master Plan can be phased and prioritized in line with NSP</w:t>
      </w:r>
      <w:r>
        <w:rPr>
          <w:sz w:val="22"/>
          <w:szCs w:val="22"/>
        </w:rPr>
        <w:t xml:space="preserve"> and how best to incorporate the services and infrastructure recommended by the NSP</w:t>
      </w:r>
      <w:r w:rsidRPr="002F31C0">
        <w:rPr>
          <w:sz w:val="22"/>
          <w:szCs w:val="22"/>
        </w:rPr>
        <w:t xml:space="preserve"> (see above).</w:t>
      </w:r>
    </w:p>
    <w:p w14:paraId="25DBECED" w14:textId="77777777" w:rsidR="00611A4D" w:rsidRPr="002F31C0" w:rsidRDefault="00611A4D" w:rsidP="00611A4D">
      <w:pPr>
        <w:widowControl w:val="0"/>
        <w:autoSpaceDE w:val="0"/>
        <w:autoSpaceDN w:val="0"/>
        <w:adjustRightInd w:val="0"/>
        <w:spacing w:after="0" w:line="240" w:lineRule="auto"/>
        <w:ind w:left="720"/>
        <w:jc w:val="both"/>
        <w:rPr>
          <w:rFonts w:ascii="Times New Roman" w:hAnsi="Times New Roman" w:cs="Times New Roman"/>
          <w:u w:val="single"/>
        </w:rPr>
      </w:pPr>
    </w:p>
    <w:p w14:paraId="011D1359" w14:textId="77777777" w:rsidR="00611A4D" w:rsidRPr="002F31C0" w:rsidRDefault="00611A4D" w:rsidP="00611A4D">
      <w:pPr>
        <w:pStyle w:val="Heading3"/>
        <w:rPr>
          <w:rFonts w:cs="Times New Roman"/>
          <w:sz w:val="22"/>
        </w:rPr>
      </w:pPr>
      <w:r w:rsidRPr="002F31C0">
        <w:rPr>
          <w:rFonts w:cs="Times New Roman"/>
          <w:sz w:val="22"/>
        </w:rPr>
        <w:t>Policy Recommendations</w:t>
      </w:r>
    </w:p>
    <w:p w14:paraId="537BE93D" w14:textId="77777777" w:rsidR="00611A4D" w:rsidRPr="00FB02BC" w:rsidRDefault="00611A4D" w:rsidP="00E16442">
      <w:pPr>
        <w:pStyle w:val="Paragraph"/>
        <w:numPr>
          <w:ilvl w:val="0"/>
          <w:numId w:val="33"/>
        </w:numPr>
        <w:rPr>
          <w:b/>
          <w:sz w:val="22"/>
          <w:szCs w:val="22"/>
          <w:u w:val="single"/>
        </w:rPr>
      </w:pPr>
      <w:r w:rsidRPr="00FB02BC">
        <w:rPr>
          <w:rStyle w:val="Strong"/>
          <w:rFonts w:eastAsiaTheme="majorEastAsia"/>
          <w:b w:val="0"/>
          <w:sz w:val="22"/>
          <w:szCs w:val="22"/>
        </w:rPr>
        <w:t xml:space="preserve">The Consultant Team will develop a set of prioritized key policy actions that can accompany the implementation of NSP and SUDMP. These recommendations must be focused on enabling the implementation of the plans. The Consultant Team is not expected to conduct detailed analysis for this component; rather these recommendations will be used to identify future activities. </w:t>
      </w:r>
    </w:p>
    <w:p w14:paraId="53AFB3EF" w14:textId="77777777" w:rsidR="00611A4D" w:rsidRPr="002F31C0" w:rsidRDefault="00611A4D" w:rsidP="00611A4D">
      <w:pPr>
        <w:spacing w:line="240" w:lineRule="auto"/>
        <w:rPr>
          <w:rFonts w:ascii="Times New Roman" w:hAnsi="Times New Roman" w:cs="Times New Roman"/>
          <w:u w:val="single"/>
        </w:rPr>
      </w:pPr>
    </w:p>
    <w:p w14:paraId="1696B6E9" w14:textId="77777777" w:rsidR="00611A4D" w:rsidRPr="002F31C0" w:rsidRDefault="00611A4D" w:rsidP="00E16442">
      <w:pPr>
        <w:pStyle w:val="ListParagraph"/>
        <w:numPr>
          <w:ilvl w:val="0"/>
          <w:numId w:val="33"/>
        </w:numPr>
        <w:spacing w:line="240" w:lineRule="auto"/>
        <w:rPr>
          <w:rFonts w:ascii="Times New Roman" w:hAnsi="Times New Roman" w:cs="Times New Roman"/>
          <w:u w:val="single"/>
        </w:rPr>
      </w:pPr>
      <w:r w:rsidRPr="002F31C0">
        <w:rPr>
          <w:rFonts w:ascii="Times New Roman" w:hAnsi="Times New Roman" w:cs="Times New Roman"/>
        </w:rPr>
        <w:t>The deliverables for Phase 2 are:</w:t>
      </w:r>
    </w:p>
    <w:p w14:paraId="2EF3CF61" w14:textId="25488D02" w:rsidR="00611A4D" w:rsidRPr="002F31C0" w:rsidRDefault="00611A4D" w:rsidP="00E16442">
      <w:pPr>
        <w:pStyle w:val="ListParagraph"/>
        <w:numPr>
          <w:ilvl w:val="1"/>
          <w:numId w:val="33"/>
        </w:numPr>
        <w:spacing w:line="240" w:lineRule="auto"/>
        <w:rPr>
          <w:rFonts w:ascii="Times New Roman" w:hAnsi="Times New Roman" w:cs="Times New Roman"/>
          <w:u w:val="single"/>
        </w:rPr>
      </w:pPr>
      <w:r w:rsidRPr="002F31C0">
        <w:rPr>
          <w:rFonts w:ascii="Times New Roman" w:hAnsi="Times New Roman" w:cs="Times New Roman"/>
        </w:rPr>
        <w:t xml:space="preserve">An evaluation of NSP and how it can be implemented using </w:t>
      </w:r>
      <w:r w:rsidR="002941E4">
        <w:rPr>
          <w:rFonts w:ascii="Times New Roman" w:hAnsi="Times New Roman" w:cs="Times New Roman"/>
        </w:rPr>
        <w:t xml:space="preserve">the </w:t>
      </w:r>
      <w:proofErr w:type="spellStart"/>
      <w:r w:rsidRPr="002F31C0">
        <w:rPr>
          <w:rFonts w:ascii="Times New Roman" w:hAnsi="Times New Roman" w:cs="Times New Roman"/>
        </w:rPr>
        <w:t>Addu</w:t>
      </w:r>
      <w:proofErr w:type="spellEnd"/>
      <w:r w:rsidR="002941E4">
        <w:rPr>
          <w:rFonts w:ascii="Times New Roman" w:hAnsi="Times New Roman" w:cs="Times New Roman"/>
        </w:rPr>
        <w:t xml:space="preserve"> Region</w:t>
      </w:r>
      <w:r w:rsidRPr="002F31C0">
        <w:rPr>
          <w:rFonts w:ascii="Times New Roman" w:hAnsi="Times New Roman" w:cs="Times New Roman"/>
        </w:rPr>
        <w:t xml:space="preserve"> as a </w:t>
      </w:r>
      <w:r>
        <w:rPr>
          <w:rFonts w:ascii="Times New Roman" w:hAnsi="Times New Roman" w:cs="Times New Roman"/>
        </w:rPr>
        <w:t>roadmap to implementation</w:t>
      </w:r>
    </w:p>
    <w:p w14:paraId="5A6781B2" w14:textId="77777777" w:rsidR="00611A4D" w:rsidRPr="002F31C0" w:rsidRDefault="00611A4D" w:rsidP="00E16442">
      <w:pPr>
        <w:pStyle w:val="ListParagraph"/>
        <w:numPr>
          <w:ilvl w:val="1"/>
          <w:numId w:val="33"/>
        </w:numPr>
        <w:spacing w:line="240" w:lineRule="auto"/>
        <w:rPr>
          <w:rFonts w:ascii="Times New Roman" w:hAnsi="Times New Roman" w:cs="Times New Roman"/>
          <w:u w:val="single"/>
        </w:rPr>
      </w:pPr>
      <w:r w:rsidRPr="002F31C0">
        <w:rPr>
          <w:rFonts w:ascii="Times New Roman" w:hAnsi="Times New Roman" w:cs="Times New Roman"/>
        </w:rPr>
        <w:t>A comparison of the infrastructure requirements of NSP and their impact on SUDMP</w:t>
      </w:r>
      <w:r>
        <w:rPr>
          <w:rFonts w:ascii="Times New Roman" w:hAnsi="Times New Roman" w:cs="Times New Roman"/>
        </w:rPr>
        <w:t xml:space="preserve"> </w:t>
      </w:r>
    </w:p>
    <w:p w14:paraId="4FE7721D" w14:textId="6DAA1D22" w:rsidR="00611A4D" w:rsidRPr="002F31C0" w:rsidRDefault="00611A4D" w:rsidP="00E16442">
      <w:pPr>
        <w:pStyle w:val="ListParagraph"/>
        <w:numPr>
          <w:ilvl w:val="1"/>
          <w:numId w:val="33"/>
        </w:numPr>
        <w:spacing w:line="240" w:lineRule="auto"/>
        <w:rPr>
          <w:rFonts w:ascii="Times New Roman" w:hAnsi="Times New Roman" w:cs="Times New Roman"/>
          <w:u w:val="single"/>
        </w:rPr>
      </w:pPr>
      <w:r w:rsidRPr="002F31C0">
        <w:rPr>
          <w:rFonts w:ascii="Times New Roman" w:hAnsi="Times New Roman" w:cs="Times New Roman"/>
        </w:rPr>
        <w:t xml:space="preserve">An assessment of development strategies and key planning parameters for </w:t>
      </w:r>
      <w:r w:rsidR="002941E4">
        <w:rPr>
          <w:rFonts w:ascii="Times New Roman" w:hAnsi="Times New Roman" w:cs="Times New Roman"/>
        </w:rPr>
        <w:t xml:space="preserve">the </w:t>
      </w:r>
      <w:proofErr w:type="spellStart"/>
      <w:r>
        <w:rPr>
          <w:rFonts w:ascii="Times New Roman" w:hAnsi="Times New Roman" w:cs="Times New Roman"/>
        </w:rPr>
        <w:t>Addu</w:t>
      </w:r>
      <w:proofErr w:type="spellEnd"/>
      <w:r w:rsidR="002941E4">
        <w:rPr>
          <w:rFonts w:ascii="Times New Roman" w:hAnsi="Times New Roman" w:cs="Times New Roman"/>
        </w:rPr>
        <w:t xml:space="preserve"> </w:t>
      </w:r>
      <w:r>
        <w:rPr>
          <w:rFonts w:ascii="Times New Roman" w:hAnsi="Times New Roman" w:cs="Times New Roman"/>
        </w:rPr>
        <w:t>Urban Centers.</w:t>
      </w:r>
    </w:p>
    <w:p w14:paraId="7D11A450" w14:textId="77777777" w:rsidR="00611A4D" w:rsidRPr="002F31C0" w:rsidRDefault="00611A4D" w:rsidP="00611A4D">
      <w:pPr>
        <w:pStyle w:val="ListParagraph"/>
        <w:spacing w:line="240" w:lineRule="auto"/>
        <w:ind w:left="1440"/>
        <w:rPr>
          <w:rFonts w:ascii="Times New Roman" w:hAnsi="Times New Roman" w:cs="Times New Roman"/>
        </w:rPr>
      </w:pPr>
    </w:p>
    <w:p w14:paraId="28D992D7" w14:textId="77777777" w:rsidR="00611A4D" w:rsidRPr="002F31C0" w:rsidRDefault="00611A4D" w:rsidP="00611A4D">
      <w:pPr>
        <w:pStyle w:val="Heading2"/>
        <w:spacing w:line="240" w:lineRule="auto"/>
        <w:rPr>
          <w:rFonts w:ascii="Times New Roman" w:hAnsi="Times New Roman" w:cs="Times New Roman"/>
          <w:b/>
          <w:color w:val="auto"/>
          <w:sz w:val="22"/>
          <w:szCs w:val="22"/>
          <w:u w:val="single"/>
        </w:rPr>
      </w:pPr>
      <w:r w:rsidRPr="002F31C0">
        <w:rPr>
          <w:rFonts w:ascii="Times New Roman" w:hAnsi="Times New Roman" w:cs="Times New Roman"/>
          <w:b/>
          <w:color w:val="auto"/>
          <w:sz w:val="22"/>
          <w:szCs w:val="22"/>
          <w:u w:val="single"/>
        </w:rPr>
        <w:t xml:space="preserve">Phase </w:t>
      </w:r>
      <w:r>
        <w:rPr>
          <w:rFonts w:ascii="Times New Roman" w:hAnsi="Times New Roman" w:cs="Times New Roman"/>
          <w:b/>
          <w:color w:val="auto"/>
          <w:sz w:val="22"/>
          <w:szCs w:val="22"/>
          <w:u w:val="single"/>
        </w:rPr>
        <w:t>3</w:t>
      </w:r>
      <w:r w:rsidRPr="002F31C0">
        <w:rPr>
          <w:rFonts w:ascii="Times New Roman" w:hAnsi="Times New Roman" w:cs="Times New Roman"/>
          <w:b/>
          <w:color w:val="auto"/>
          <w:sz w:val="22"/>
          <w:szCs w:val="22"/>
          <w:u w:val="single"/>
        </w:rPr>
        <w:t xml:space="preserve">: </w:t>
      </w:r>
      <w:r>
        <w:rPr>
          <w:rFonts w:ascii="Times New Roman" w:hAnsi="Times New Roman" w:cs="Times New Roman"/>
          <w:b/>
          <w:color w:val="auto"/>
          <w:sz w:val="22"/>
          <w:szCs w:val="22"/>
          <w:u w:val="single"/>
        </w:rPr>
        <w:t>Detailed Local Development Plans</w:t>
      </w:r>
    </w:p>
    <w:p w14:paraId="3DE30CA9" w14:textId="77777777" w:rsidR="00611A4D" w:rsidRPr="002F31C0" w:rsidRDefault="00611A4D" w:rsidP="00611A4D">
      <w:pPr>
        <w:pStyle w:val="Heading3"/>
        <w:rPr>
          <w:rFonts w:cs="Times New Roman"/>
          <w:sz w:val="22"/>
        </w:rPr>
      </w:pPr>
      <w:r w:rsidRPr="002F31C0">
        <w:rPr>
          <w:rFonts w:cs="Times New Roman"/>
          <w:sz w:val="22"/>
        </w:rPr>
        <w:t>Urban Design Plans and Guidelines</w:t>
      </w:r>
    </w:p>
    <w:p w14:paraId="4A697EF8" w14:textId="63F6EC02" w:rsidR="00611A4D" w:rsidRDefault="00611A4D" w:rsidP="00E16442">
      <w:pPr>
        <w:pStyle w:val="Paragraph"/>
        <w:numPr>
          <w:ilvl w:val="0"/>
          <w:numId w:val="34"/>
        </w:numPr>
        <w:rPr>
          <w:sz w:val="22"/>
          <w:szCs w:val="22"/>
        </w:rPr>
      </w:pPr>
      <w:r>
        <w:rPr>
          <w:sz w:val="22"/>
          <w:szCs w:val="22"/>
        </w:rPr>
        <w:t xml:space="preserve">The Consultant team will conduct a site planning exercise for the NSP-recommended services and infrastructure for </w:t>
      </w:r>
      <w:r w:rsidR="00884195">
        <w:rPr>
          <w:sz w:val="22"/>
          <w:szCs w:val="22"/>
        </w:rPr>
        <w:t>the Region</w:t>
      </w:r>
      <w:r>
        <w:rPr>
          <w:sz w:val="22"/>
          <w:szCs w:val="22"/>
        </w:rPr>
        <w:t xml:space="preserve"> to better understand the requirements of the investments and possible locations.  </w:t>
      </w:r>
      <w:r w:rsidR="00F10C61">
        <w:rPr>
          <w:sz w:val="22"/>
          <w:szCs w:val="22"/>
        </w:rPr>
        <w:t>This should include an overall site plan for the Region</w:t>
      </w:r>
      <w:r w:rsidR="009F6341">
        <w:rPr>
          <w:sz w:val="22"/>
          <w:szCs w:val="22"/>
        </w:rPr>
        <w:t>.</w:t>
      </w:r>
    </w:p>
    <w:p w14:paraId="4C38C630" w14:textId="264BDD57" w:rsidR="00611A4D" w:rsidRPr="002F31C0" w:rsidRDefault="00611A4D" w:rsidP="00E16442">
      <w:pPr>
        <w:pStyle w:val="Paragraph"/>
        <w:numPr>
          <w:ilvl w:val="0"/>
          <w:numId w:val="34"/>
        </w:numPr>
        <w:rPr>
          <w:sz w:val="22"/>
          <w:szCs w:val="22"/>
        </w:rPr>
      </w:pPr>
      <w:r w:rsidRPr="002F31C0">
        <w:rPr>
          <w:sz w:val="22"/>
          <w:szCs w:val="22"/>
        </w:rPr>
        <w:t>Prepare detailed urban design plan</w:t>
      </w:r>
      <w:r>
        <w:rPr>
          <w:sz w:val="22"/>
          <w:szCs w:val="22"/>
        </w:rPr>
        <w:t>s</w:t>
      </w:r>
      <w:r w:rsidRPr="002F31C0">
        <w:rPr>
          <w:sz w:val="22"/>
          <w:szCs w:val="22"/>
        </w:rPr>
        <w:t xml:space="preserve"> and guidelines that can be used as development parameters for key districts within </w:t>
      </w:r>
      <w:r w:rsidR="00920BC8">
        <w:rPr>
          <w:sz w:val="22"/>
          <w:szCs w:val="22"/>
        </w:rPr>
        <w:t xml:space="preserve">the </w:t>
      </w:r>
      <w:proofErr w:type="spellStart"/>
      <w:r>
        <w:rPr>
          <w:sz w:val="22"/>
          <w:szCs w:val="22"/>
        </w:rPr>
        <w:t>Addu</w:t>
      </w:r>
      <w:proofErr w:type="spellEnd"/>
      <w:r w:rsidR="00920BC8">
        <w:rPr>
          <w:sz w:val="22"/>
          <w:szCs w:val="22"/>
        </w:rPr>
        <w:t xml:space="preserve"> Urban </w:t>
      </w:r>
      <w:r>
        <w:rPr>
          <w:sz w:val="22"/>
          <w:szCs w:val="22"/>
        </w:rPr>
        <w:t>Center</w:t>
      </w:r>
      <w:r w:rsidRPr="002F31C0">
        <w:rPr>
          <w:sz w:val="22"/>
          <w:szCs w:val="22"/>
        </w:rPr>
        <w:t>. The urban design</w:t>
      </w:r>
      <w:r w:rsidR="0048006D">
        <w:rPr>
          <w:sz w:val="22"/>
          <w:szCs w:val="22"/>
        </w:rPr>
        <w:t xml:space="preserve"> site</w:t>
      </w:r>
      <w:r w:rsidRPr="002F31C0">
        <w:rPr>
          <w:sz w:val="22"/>
          <w:szCs w:val="22"/>
        </w:rPr>
        <w:t xml:space="preserve"> plan should build upon </w:t>
      </w:r>
      <w:r>
        <w:rPr>
          <w:sz w:val="22"/>
          <w:szCs w:val="22"/>
        </w:rPr>
        <w:t>NSP and SUDMP</w:t>
      </w:r>
      <w:r w:rsidRPr="002F31C0">
        <w:rPr>
          <w:sz w:val="22"/>
          <w:szCs w:val="22"/>
        </w:rPr>
        <w:t xml:space="preserve"> and include the following elements:</w:t>
      </w:r>
    </w:p>
    <w:p w14:paraId="3917EDF7" w14:textId="45597CBB" w:rsidR="00611A4D" w:rsidRPr="002F31C0" w:rsidRDefault="00611A4D" w:rsidP="00611A4D">
      <w:pPr>
        <w:pStyle w:val="ListParagraph"/>
        <w:numPr>
          <w:ilvl w:val="0"/>
          <w:numId w:val="23"/>
        </w:numPr>
        <w:spacing w:after="0" w:line="240" w:lineRule="auto"/>
        <w:ind w:firstLine="0"/>
        <w:jc w:val="both"/>
        <w:rPr>
          <w:rStyle w:val="Emphasis"/>
          <w:rFonts w:ascii="Times New Roman" w:hAnsi="Times New Roman" w:cs="Times New Roman"/>
          <w:i w:val="0"/>
          <w:iCs w:val="0"/>
        </w:rPr>
      </w:pPr>
      <w:r w:rsidRPr="002F31C0">
        <w:rPr>
          <w:rStyle w:val="Emphasis"/>
          <w:rFonts w:ascii="Times New Roman" w:hAnsi="Times New Roman" w:cs="Times New Roman"/>
        </w:rPr>
        <w:t xml:space="preserve">Well-defined district character, of the various districts and boundaries </w:t>
      </w:r>
      <w:r w:rsidR="00C302FA">
        <w:rPr>
          <w:rStyle w:val="Emphasis"/>
          <w:rFonts w:ascii="Times New Roman" w:hAnsi="Times New Roman" w:cs="Times New Roman"/>
        </w:rPr>
        <w:t>within the Center</w:t>
      </w:r>
    </w:p>
    <w:p w14:paraId="6610DDFE" w14:textId="77777777" w:rsidR="00611A4D" w:rsidRPr="002F31C0" w:rsidRDefault="00611A4D" w:rsidP="00611A4D">
      <w:pPr>
        <w:pStyle w:val="ListParagraph"/>
        <w:numPr>
          <w:ilvl w:val="0"/>
          <w:numId w:val="23"/>
        </w:numPr>
        <w:spacing w:after="0" w:line="240" w:lineRule="auto"/>
        <w:ind w:firstLine="0"/>
        <w:jc w:val="both"/>
        <w:rPr>
          <w:rFonts w:ascii="Times New Roman" w:hAnsi="Times New Roman" w:cs="Times New Roman"/>
        </w:rPr>
      </w:pPr>
      <w:r w:rsidRPr="002F31C0">
        <w:rPr>
          <w:rStyle w:val="Emphasis"/>
          <w:rFonts w:ascii="Times New Roman" w:hAnsi="Times New Roman" w:cs="Times New Roman"/>
        </w:rPr>
        <w:t>Appropriate building heights and massing</w:t>
      </w:r>
      <w:r w:rsidRPr="002F31C0">
        <w:rPr>
          <w:rFonts w:ascii="Times New Roman" w:hAnsi="Times New Roman" w:cs="Times New Roman"/>
        </w:rPr>
        <w:t>, in context with the natural environment, urban character, landmarks, view corridors etc.;</w:t>
      </w:r>
    </w:p>
    <w:p w14:paraId="30213B22" w14:textId="77777777" w:rsidR="00611A4D" w:rsidRPr="002F31C0" w:rsidRDefault="00611A4D" w:rsidP="00611A4D">
      <w:pPr>
        <w:pStyle w:val="ListParagraph"/>
        <w:numPr>
          <w:ilvl w:val="0"/>
          <w:numId w:val="23"/>
        </w:numPr>
        <w:spacing w:after="0" w:line="240" w:lineRule="auto"/>
        <w:ind w:firstLine="0"/>
        <w:jc w:val="both"/>
        <w:rPr>
          <w:rFonts w:ascii="Times New Roman" w:hAnsi="Times New Roman" w:cs="Times New Roman"/>
        </w:rPr>
      </w:pPr>
      <w:r w:rsidRPr="002F31C0">
        <w:rPr>
          <w:rStyle w:val="Emphasis"/>
          <w:rFonts w:ascii="Times New Roman" w:hAnsi="Times New Roman" w:cs="Times New Roman"/>
        </w:rPr>
        <w:t>Attractive streetscape elements</w:t>
      </w:r>
      <w:r w:rsidRPr="002F31C0">
        <w:rPr>
          <w:rFonts w:ascii="Times New Roman" w:hAnsi="Times New Roman" w:cs="Times New Roman"/>
        </w:rPr>
        <w:t xml:space="preserve"> such as street furniture, landscaping, street lighting, building-street interface, facades etc.</w:t>
      </w:r>
    </w:p>
    <w:p w14:paraId="05E6435F" w14:textId="77777777" w:rsidR="00611A4D" w:rsidRPr="002F31C0" w:rsidRDefault="00611A4D" w:rsidP="00611A4D">
      <w:pPr>
        <w:pStyle w:val="ListParagraph"/>
        <w:numPr>
          <w:ilvl w:val="0"/>
          <w:numId w:val="23"/>
        </w:numPr>
        <w:spacing w:after="0" w:line="240" w:lineRule="auto"/>
        <w:ind w:firstLine="0"/>
        <w:jc w:val="both"/>
        <w:rPr>
          <w:rFonts w:ascii="Times New Roman" w:hAnsi="Times New Roman" w:cs="Times New Roman"/>
        </w:rPr>
      </w:pPr>
      <w:r w:rsidRPr="002F31C0">
        <w:rPr>
          <w:rStyle w:val="Emphasis"/>
          <w:rFonts w:ascii="Times New Roman" w:hAnsi="Times New Roman" w:cs="Times New Roman"/>
        </w:rPr>
        <w:t>Comprehensive pedestrian network and circulation</w:t>
      </w:r>
      <w:r w:rsidRPr="002F31C0">
        <w:rPr>
          <w:rFonts w:ascii="Times New Roman" w:hAnsi="Times New Roman" w:cs="Times New Roman"/>
        </w:rPr>
        <w:t xml:space="preserve"> such as sidewalks, through-block links, road crossings, connections to open spaces;</w:t>
      </w:r>
    </w:p>
    <w:p w14:paraId="6DB359F1" w14:textId="77777777" w:rsidR="00611A4D" w:rsidRPr="002F31C0" w:rsidRDefault="00611A4D" w:rsidP="00611A4D">
      <w:pPr>
        <w:pStyle w:val="ListParagraph"/>
        <w:numPr>
          <w:ilvl w:val="0"/>
          <w:numId w:val="23"/>
        </w:numPr>
        <w:spacing w:after="0" w:line="240" w:lineRule="auto"/>
        <w:ind w:firstLine="0"/>
        <w:jc w:val="both"/>
        <w:rPr>
          <w:rFonts w:ascii="Times New Roman" w:hAnsi="Times New Roman" w:cs="Times New Roman"/>
        </w:rPr>
      </w:pPr>
      <w:r w:rsidRPr="002F31C0">
        <w:rPr>
          <w:rStyle w:val="Emphasis"/>
          <w:rFonts w:ascii="Times New Roman" w:hAnsi="Times New Roman" w:cs="Times New Roman"/>
        </w:rPr>
        <w:t>Accessible public open spaces and parks</w:t>
      </w:r>
      <w:r w:rsidRPr="002F31C0">
        <w:rPr>
          <w:rFonts w:ascii="Times New Roman" w:hAnsi="Times New Roman" w:cs="Times New Roman"/>
        </w:rPr>
        <w:t xml:space="preserve"> to encourage social interaction and provide areas of respite; and</w:t>
      </w:r>
    </w:p>
    <w:p w14:paraId="148E68DE" w14:textId="7395C921" w:rsidR="00611A4D" w:rsidRDefault="00611A4D" w:rsidP="00611A4D">
      <w:pPr>
        <w:pStyle w:val="ListParagraph"/>
        <w:numPr>
          <w:ilvl w:val="0"/>
          <w:numId w:val="23"/>
        </w:numPr>
        <w:spacing w:after="0" w:line="240" w:lineRule="auto"/>
        <w:ind w:firstLine="0"/>
        <w:jc w:val="both"/>
        <w:rPr>
          <w:rFonts w:ascii="Times New Roman" w:hAnsi="Times New Roman" w:cs="Times New Roman"/>
        </w:rPr>
      </w:pPr>
      <w:r w:rsidRPr="002F31C0">
        <w:rPr>
          <w:rStyle w:val="Emphasis"/>
          <w:rFonts w:ascii="Times New Roman" w:hAnsi="Times New Roman" w:cs="Times New Roman"/>
        </w:rPr>
        <w:lastRenderedPageBreak/>
        <w:t>Clear traffic network</w:t>
      </w:r>
      <w:r w:rsidRPr="002F31C0">
        <w:rPr>
          <w:rFonts w:ascii="Times New Roman" w:hAnsi="Times New Roman" w:cs="Times New Roman"/>
        </w:rPr>
        <w:t xml:space="preserve"> including key vehicular circulation routes, vehicular access, drop-off points, parking areas, minimal disruption to pedestrian network, clear signage etc.</w:t>
      </w:r>
    </w:p>
    <w:p w14:paraId="5451ED86" w14:textId="77777777" w:rsidR="00044A96" w:rsidRDefault="00044A96" w:rsidP="00044A96">
      <w:pPr>
        <w:pStyle w:val="ListParagraph"/>
        <w:spacing w:after="0" w:line="240" w:lineRule="auto"/>
        <w:ind w:left="1080"/>
        <w:jc w:val="both"/>
        <w:rPr>
          <w:rFonts w:ascii="Times New Roman" w:hAnsi="Times New Roman" w:cs="Times New Roman"/>
        </w:rPr>
      </w:pPr>
    </w:p>
    <w:p w14:paraId="3659B8EF" w14:textId="17EC61F5" w:rsidR="00611A4D" w:rsidRPr="00205C66" w:rsidRDefault="00611A4D" w:rsidP="00E16442">
      <w:pPr>
        <w:pStyle w:val="ListParagraph"/>
        <w:numPr>
          <w:ilvl w:val="0"/>
          <w:numId w:val="34"/>
        </w:numPr>
        <w:spacing w:after="0" w:line="240" w:lineRule="auto"/>
        <w:jc w:val="both"/>
        <w:rPr>
          <w:rFonts w:ascii="Times New Roman" w:hAnsi="Times New Roman" w:cs="Times New Roman"/>
        </w:rPr>
      </w:pPr>
      <w:r>
        <w:rPr>
          <w:rFonts w:ascii="Times New Roman" w:hAnsi="Times New Roman" w:cs="Times New Roman"/>
        </w:rPr>
        <w:t>The sites and scale of the detailed local development urban design plans should be agreed with MNPI and the respective City Council.  These will provide a case study of how to provide high quality urban design to each Region and how to integrate the NSP infrastructure into the existing urban fabric.</w:t>
      </w:r>
    </w:p>
    <w:p w14:paraId="2B1869B7" w14:textId="77777777" w:rsidR="00611A4D" w:rsidRPr="002F31C0" w:rsidRDefault="00611A4D" w:rsidP="00611A4D">
      <w:pPr>
        <w:spacing w:line="240" w:lineRule="auto"/>
        <w:rPr>
          <w:rFonts w:ascii="Times New Roman" w:hAnsi="Times New Roman" w:cs="Times New Roman"/>
          <w:b/>
        </w:rPr>
      </w:pPr>
    </w:p>
    <w:p w14:paraId="629C507E" w14:textId="77777777" w:rsidR="00611A4D" w:rsidRPr="002F31C0" w:rsidRDefault="00611A4D" w:rsidP="00611A4D">
      <w:pPr>
        <w:pStyle w:val="Heading3"/>
        <w:rPr>
          <w:rFonts w:cs="Times New Roman"/>
          <w:sz w:val="22"/>
        </w:rPr>
      </w:pPr>
      <w:r w:rsidRPr="002F31C0">
        <w:rPr>
          <w:rFonts w:cs="Times New Roman"/>
          <w:sz w:val="22"/>
        </w:rPr>
        <w:t>Planning Standards, Development Control and Enforcement Measures</w:t>
      </w:r>
    </w:p>
    <w:p w14:paraId="21C8E8C3" w14:textId="77777777" w:rsidR="00611A4D" w:rsidRPr="002F31C0" w:rsidRDefault="00611A4D" w:rsidP="00E16442">
      <w:pPr>
        <w:pStyle w:val="Paragraph"/>
        <w:numPr>
          <w:ilvl w:val="0"/>
          <w:numId w:val="35"/>
        </w:numPr>
        <w:rPr>
          <w:sz w:val="22"/>
          <w:szCs w:val="22"/>
        </w:rPr>
      </w:pPr>
      <w:r w:rsidRPr="002F31C0">
        <w:rPr>
          <w:sz w:val="22"/>
          <w:szCs w:val="22"/>
        </w:rPr>
        <w:t xml:space="preserve">The Consultant Team shall review existing planning standards and development control guidelines for the implementation of the proposed Local Development Plans and assess their appropriateness. The Consultant Team is expected to specify any variances, if needed, to the existing standards, with justification. </w:t>
      </w:r>
    </w:p>
    <w:p w14:paraId="33964566" w14:textId="77777777" w:rsidR="00611A4D" w:rsidRDefault="00611A4D" w:rsidP="00611A4D">
      <w:pPr>
        <w:pStyle w:val="Paragraph"/>
        <w:numPr>
          <w:ilvl w:val="0"/>
          <w:numId w:val="0"/>
        </w:numPr>
        <w:ind w:left="720"/>
        <w:rPr>
          <w:sz w:val="22"/>
          <w:szCs w:val="22"/>
        </w:rPr>
      </w:pPr>
    </w:p>
    <w:p w14:paraId="26F13B9D" w14:textId="57AAE66E" w:rsidR="00611A4D" w:rsidRPr="002F31C0" w:rsidRDefault="00611A4D" w:rsidP="00E16442">
      <w:pPr>
        <w:pStyle w:val="Paragraph"/>
        <w:numPr>
          <w:ilvl w:val="0"/>
          <w:numId w:val="35"/>
        </w:numPr>
        <w:rPr>
          <w:sz w:val="22"/>
          <w:szCs w:val="22"/>
        </w:rPr>
      </w:pPr>
      <w:r w:rsidRPr="002F31C0">
        <w:rPr>
          <w:sz w:val="22"/>
          <w:szCs w:val="22"/>
        </w:rPr>
        <w:t>Where possible, the Consultant Team should suggest appropriate enhancements and changes to the planning standards and development control guidelines. These should be discussed and reviewed in detail with M</w:t>
      </w:r>
      <w:r>
        <w:rPr>
          <w:sz w:val="22"/>
          <w:szCs w:val="22"/>
        </w:rPr>
        <w:t>NPI and the City Council</w:t>
      </w:r>
      <w:r w:rsidRPr="002F31C0">
        <w:rPr>
          <w:sz w:val="22"/>
          <w:szCs w:val="22"/>
        </w:rPr>
        <w:t xml:space="preserve">. </w:t>
      </w:r>
    </w:p>
    <w:p w14:paraId="0F88BC8C" w14:textId="77777777" w:rsidR="00611A4D" w:rsidRDefault="00611A4D" w:rsidP="00611A4D">
      <w:pPr>
        <w:pStyle w:val="Paragraph"/>
        <w:numPr>
          <w:ilvl w:val="0"/>
          <w:numId w:val="0"/>
        </w:numPr>
        <w:ind w:left="720"/>
        <w:rPr>
          <w:sz w:val="22"/>
          <w:szCs w:val="22"/>
        </w:rPr>
      </w:pPr>
    </w:p>
    <w:p w14:paraId="0BB5F76B" w14:textId="77777777" w:rsidR="00611A4D" w:rsidRPr="002F31C0" w:rsidRDefault="00611A4D" w:rsidP="00E16442">
      <w:pPr>
        <w:pStyle w:val="Paragraph"/>
        <w:numPr>
          <w:ilvl w:val="0"/>
          <w:numId w:val="35"/>
        </w:numPr>
        <w:rPr>
          <w:sz w:val="22"/>
          <w:szCs w:val="22"/>
        </w:rPr>
      </w:pPr>
      <w:r w:rsidRPr="002F31C0">
        <w:rPr>
          <w:sz w:val="22"/>
          <w:szCs w:val="22"/>
        </w:rPr>
        <w:t xml:space="preserve">In addition, appropriate strategies and measures for enforcement of planning standards and development controls should be proposed. </w:t>
      </w:r>
    </w:p>
    <w:p w14:paraId="5EE16BF5" w14:textId="77777777" w:rsidR="00611A4D" w:rsidRPr="002F31C0" w:rsidRDefault="00611A4D" w:rsidP="00611A4D">
      <w:pPr>
        <w:spacing w:line="240" w:lineRule="auto"/>
        <w:rPr>
          <w:rFonts w:ascii="Times New Roman" w:hAnsi="Times New Roman" w:cs="Times New Roman"/>
          <w:b/>
        </w:rPr>
      </w:pPr>
    </w:p>
    <w:p w14:paraId="08F776AA" w14:textId="77777777" w:rsidR="00611A4D" w:rsidRPr="002F31C0" w:rsidRDefault="00611A4D" w:rsidP="00611A4D">
      <w:pPr>
        <w:pStyle w:val="Heading3"/>
        <w:rPr>
          <w:rFonts w:cs="Times New Roman"/>
          <w:sz w:val="22"/>
        </w:rPr>
      </w:pPr>
      <w:r w:rsidRPr="002F31C0">
        <w:rPr>
          <w:rFonts w:cs="Times New Roman"/>
          <w:sz w:val="22"/>
        </w:rPr>
        <w:t>Investment and Implementation Plan</w:t>
      </w:r>
    </w:p>
    <w:p w14:paraId="18901760" w14:textId="77777777" w:rsidR="00611A4D" w:rsidRPr="00BE58E4" w:rsidRDefault="00611A4D" w:rsidP="00E16442">
      <w:pPr>
        <w:pStyle w:val="Paragraph"/>
        <w:numPr>
          <w:ilvl w:val="0"/>
          <w:numId w:val="36"/>
        </w:numPr>
        <w:rPr>
          <w:rStyle w:val="Strong"/>
          <w:rFonts w:eastAsiaTheme="majorEastAsia" w:cstheme="minorBidi"/>
          <w:b w:val="0"/>
          <w:sz w:val="22"/>
          <w:szCs w:val="22"/>
          <w:u w:val="single"/>
        </w:rPr>
      </w:pPr>
      <w:r w:rsidRPr="00BE58E4">
        <w:rPr>
          <w:rStyle w:val="Strong"/>
          <w:rFonts w:eastAsiaTheme="majorEastAsia"/>
          <w:b w:val="0"/>
          <w:sz w:val="22"/>
          <w:szCs w:val="22"/>
        </w:rPr>
        <w:t xml:space="preserve">Develop an infrastructure and urban upgrading investment plan reflecting priority intervention areas. This will include: </w:t>
      </w:r>
    </w:p>
    <w:p w14:paraId="6ADD7984" w14:textId="77777777" w:rsidR="00611A4D" w:rsidRPr="002F31C0" w:rsidRDefault="00611A4D" w:rsidP="00611A4D">
      <w:pPr>
        <w:pStyle w:val="Paragraph"/>
        <w:numPr>
          <w:ilvl w:val="0"/>
          <w:numId w:val="24"/>
        </w:numPr>
        <w:ind w:left="1080" w:firstLine="0"/>
        <w:rPr>
          <w:sz w:val="22"/>
          <w:szCs w:val="22"/>
        </w:rPr>
      </w:pPr>
      <w:r w:rsidRPr="002F31C0">
        <w:rPr>
          <w:sz w:val="22"/>
          <w:szCs w:val="22"/>
        </w:rPr>
        <w:t>A phased action plan (short, medium and long term); and</w:t>
      </w:r>
    </w:p>
    <w:p w14:paraId="4D8BAD45" w14:textId="77777777" w:rsidR="00611A4D" w:rsidRPr="002F31C0" w:rsidRDefault="00611A4D" w:rsidP="00611A4D">
      <w:pPr>
        <w:pStyle w:val="Paragraph"/>
        <w:numPr>
          <w:ilvl w:val="0"/>
          <w:numId w:val="24"/>
        </w:numPr>
        <w:ind w:left="1080" w:firstLine="0"/>
        <w:rPr>
          <w:sz w:val="22"/>
          <w:szCs w:val="22"/>
        </w:rPr>
      </w:pPr>
      <w:r w:rsidRPr="002F31C0">
        <w:rPr>
          <w:sz w:val="22"/>
          <w:szCs w:val="22"/>
        </w:rPr>
        <w:t xml:space="preserve">Indicative costs to implement the identified infrastructure projects. This output is expected to be used for the selection and prioritization of urban upgrading and infrastructure projects during the plan implementation stage. </w:t>
      </w:r>
    </w:p>
    <w:p w14:paraId="028314B3" w14:textId="77777777" w:rsidR="00611A4D" w:rsidRPr="002F31C0" w:rsidRDefault="00611A4D" w:rsidP="00611A4D">
      <w:pPr>
        <w:spacing w:after="200" w:line="240" w:lineRule="auto"/>
        <w:rPr>
          <w:rFonts w:ascii="Times New Roman" w:eastAsia="Gulim" w:hAnsi="Times New Roman" w:cs="Times New Roman"/>
          <w:bCs/>
          <w:vanish/>
        </w:rPr>
      </w:pPr>
    </w:p>
    <w:p w14:paraId="79BDC854" w14:textId="77777777" w:rsidR="00611A4D" w:rsidRPr="002F31C0" w:rsidRDefault="00611A4D" w:rsidP="00611A4D">
      <w:pPr>
        <w:pStyle w:val="ListParagraph"/>
        <w:autoSpaceDE w:val="0"/>
        <w:autoSpaceDN w:val="0"/>
        <w:adjustRightInd w:val="0"/>
        <w:spacing w:line="240" w:lineRule="auto"/>
        <w:ind w:left="1080"/>
        <w:contextualSpacing w:val="0"/>
        <w:rPr>
          <w:rFonts w:ascii="Times New Roman" w:eastAsia="Gulim" w:hAnsi="Times New Roman" w:cs="Times New Roman"/>
          <w:bCs/>
          <w:vanish/>
        </w:rPr>
      </w:pPr>
    </w:p>
    <w:p w14:paraId="00BB2C4B" w14:textId="77777777" w:rsidR="00611A4D" w:rsidRPr="002F31C0" w:rsidRDefault="00611A4D" w:rsidP="00611A4D">
      <w:pPr>
        <w:pStyle w:val="ListParagraph"/>
        <w:autoSpaceDE w:val="0"/>
        <w:autoSpaceDN w:val="0"/>
        <w:adjustRightInd w:val="0"/>
        <w:spacing w:line="240" w:lineRule="auto"/>
        <w:ind w:left="1080"/>
        <w:contextualSpacing w:val="0"/>
        <w:rPr>
          <w:rFonts w:ascii="Times New Roman" w:eastAsia="Gulim" w:hAnsi="Times New Roman" w:cs="Times New Roman"/>
          <w:bCs/>
          <w:vanish/>
        </w:rPr>
      </w:pPr>
    </w:p>
    <w:p w14:paraId="279EE156" w14:textId="77777777" w:rsidR="00611A4D" w:rsidRPr="002F31C0" w:rsidRDefault="00611A4D" w:rsidP="00611A4D">
      <w:pPr>
        <w:pStyle w:val="ListParagraph"/>
        <w:autoSpaceDE w:val="0"/>
        <w:autoSpaceDN w:val="0"/>
        <w:adjustRightInd w:val="0"/>
        <w:spacing w:line="240" w:lineRule="auto"/>
        <w:ind w:left="1800"/>
        <w:contextualSpacing w:val="0"/>
        <w:rPr>
          <w:rFonts w:ascii="Times New Roman" w:eastAsia="Gulim" w:hAnsi="Times New Roman" w:cs="Times New Roman"/>
          <w:bCs/>
          <w:vanish/>
        </w:rPr>
      </w:pPr>
    </w:p>
    <w:p w14:paraId="15375A8A" w14:textId="77777777" w:rsidR="00611A4D" w:rsidRPr="002F31C0" w:rsidRDefault="00611A4D" w:rsidP="00611A4D">
      <w:pPr>
        <w:pStyle w:val="ListParagraph"/>
        <w:autoSpaceDE w:val="0"/>
        <w:autoSpaceDN w:val="0"/>
        <w:adjustRightInd w:val="0"/>
        <w:spacing w:line="240" w:lineRule="auto"/>
        <w:ind w:left="1800"/>
        <w:contextualSpacing w:val="0"/>
        <w:rPr>
          <w:rFonts w:ascii="Times New Roman" w:eastAsia="Gulim" w:hAnsi="Times New Roman" w:cs="Times New Roman"/>
          <w:bCs/>
          <w:vanish/>
        </w:rPr>
      </w:pPr>
    </w:p>
    <w:p w14:paraId="07992B41" w14:textId="77777777" w:rsidR="00611A4D" w:rsidRPr="002F31C0" w:rsidRDefault="00611A4D" w:rsidP="00611A4D">
      <w:pPr>
        <w:pStyle w:val="Heading1"/>
        <w:rPr>
          <w:rFonts w:cs="Times New Roman"/>
          <w:sz w:val="22"/>
        </w:rPr>
      </w:pPr>
    </w:p>
    <w:p w14:paraId="1A1D008B" w14:textId="77777777" w:rsidR="00611A4D" w:rsidRPr="002F31C0" w:rsidRDefault="00611A4D" w:rsidP="00611A4D">
      <w:pPr>
        <w:pStyle w:val="Heading1"/>
        <w:rPr>
          <w:rFonts w:cs="Times New Roman"/>
          <w:sz w:val="22"/>
        </w:rPr>
      </w:pPr>
      <w:r w:rsidRPr="002F31C0">
        <w:rPr>
          <w:rFonts w:cs="Times New Roman"/>
          <w:sz w:val="22"/>
        </w:rPr>
        <w:t>Qualifications</w:t>
      </w:r>
    </w:p>
    <w:p w14:paraId="65AA9EDC" w14:textId="77777777" w:rsidR="00611A4D" w:rsidRPr="002F31C0" w:rsidRDefault="00611A4D" w:rsidP="00E16442">
      <w:pPr>
        <w:pStyle w:val="Paragraph"/>
        <w:numPr>
          <w:ilvl w:val="0"/>
          <w:numId w:val="38"/>
        </w:numPr>
        <w:rPr>
          <w:sz w:val="22"/>
          <w:szCs w:val="22"/>
        </w:rPr>
      </w:pPr>
      <w:r w:rsidRPr="002F31C0">
        <w:rPr>
          <w:sz w:val="22"/>
          <w:szCs w:val="22"/>
          <w:lang w:eastAsia="en-GB"/>
        </w:rPr>
        <w:t xml:space="preserve">A multi-disciplinary team of professional and technical personnel will be required for the execution of the project. The Consultant Team should be led for the full term of the project by a Team Leader with extensive experience in physical planning and project management. Other professionals will be required to provide specialized inputs to the exercise. </w:t>
      </w:r>
      <w:r w:rsidRPr="002F31C0">
        <w:rPr>
          <w:sz w:val="22"/>
          <w:szCs w:val="22"/>
        </w:rPr>
        <w:t>The consultant’s key personnel shall satisfy the following requirements.</w:t>
      </w:r>
    </w:p>
    <w:p w14:paraId="5D9D559E" w14:textId="77777777" w:rsidR="00611A4D" w:rsidRPr="002F31C0" w:rsidRDefault="00611A4D" w:rsidP="00611A4D">
      <w:pPr>
        <w:pStyle w:val="Paragraph"/>
        <w:numPr>
          <w:ilvl w:val="0"/>
          <w:numId w:val="0"/>
        </w:numPr>
        <w:rPr>
          <w:sz w:val="22"/>
          <w:szCs w:val="22"/>
        </w:rPr>
      </w:pPr>
    </w:p>
    <w:p w14:paraId="77EA81EF" w14:textId="77777777" w:rsidR="00611A4D" w:rsidRPr="002F31C0" w:rsidRDefault="00611A4D" w:rsidP="00E16442">
      <w:pPr>
        <w:pStyle w:val="Paragraph"/>
        <w:numPr>
          <w:ilvl w:val="0"/>
          <w:numId w:val="38"/>
        </w:numPr>
        <w:rPr>
          <w:sz w:val="22"/>
          <w:szCs w:val="22"/>
        </w:rPr>
      </w:pPr>
      <w:r w:rsidRPr="002F31C0">
        <w:rPr>
          <w:sz w:val="22"/>
          <w:szCs w:val="22"/>
        </w:rPr>
        <w:t>The Consultant Team has the obligation of carrying out the consultancy with due diligence, efficiency and a high standard of professionalism. The Consultant Team shall employ competent staff and use appropriate planning approaches and methods. The Consultant Team will also act, in respect of any matter relating to the consultancy, as a faithful adviser to the client.</w:t>
      </w:r>
    </w:p>
    <w:p w14:paraId="7A87B178" w14:textId="77777777" w:rsidR="00611A4D" w:rsidRPr="002F31C0" w:rsidRDefault="00611A4D" w:rsidP="00611A4D">
      <w:pPr>
        <w:pStyle w:val="Paragraph"/>
        <w:numPr>
          <w:ilvl w:val="0"/>
          <w:numId w:val="0"/>
        </w:numPr>
        <w:rPr>
          <w:sz w:val="22"/>
          <w:szCs w:val="22"/>
        </w:rPr>
      </w:pPr>
    </w:p>
    <w:p w14:paraId="42B04E57" w14:textId="77777777" w:rsidR="00611A4D" w:rsidRPr="00F658CA" w:rsidRDefault="00611A4D" w:rsidP="00E16442">
      <w:pPr>
        <w:pStyle w:val="Paragraph"/>
        <w:numPr>
          <w:ilvl w:val="0"/>
          <w:numId w:val="38"/>
        </w:numPr>
        <w:rPr>
          <w:rStyle w:val="Emphasis"/>
          <w:i w:val="0"/>
          <w:sz w:val="22"/>
          <w:szCs w:val="22"/>
        </w:rPr>
      </w:pPr>
      <w:r w:rsidRPr="002F31C0">
        <w:rPr>
          <w:rStyle w:val="Emphasis"/>
          <w:sz w:val="22"/>
          <w:szCs w:val="22"/>
        </w:rPr>
        <w:t>The following list of qualifications serves as a guide and the Consultant Team may, with justification, propose additional staff for effective and efficient execution of the assignment. The Consultant Team shall also propose the time allocation for each of the staff dedicated to their respective tasks, and whether they will be performed on location or remotely.</w:t>
      </w:r>
    </w:p>
    <w:p w14:paraId="4F560908" w14:textId="77777777" w:rsidR="00F658CA" w:rsidRDefault="00F658CA" w:rsidP="00F658CA">
      <w:pPr>
        <w:pStyle w:val="ListParagraph"/>
        <w:rPr>
          <w:rStyle w:val="Emphasis"/>
          <w:i w:val="0"/>
        </w:rPr>
      </w:pPr>
    </w:p>
    <w:p w14:paraId="00BA424A" w14:textId="77777777" w:rsidR="00611A4D" w:rsidRPr="002F31C0" w:rsidRDefault="00611A4D" w:rsidP="00611A4D">
      <w:pPr>
        <w:pStyle w:val="Paragraph"/>
        <w:numPr>
          <w:ilvl w:val="0"/>
          <w:numId w:val="0"/>
        </w:numPr>
        <w:rPr>
          <w:sz w:val="22"/>
          <w:szCs w:val="22"/>
        </w:rPr>
      </w:pPr>
    </w:p>
    <w:tbl>
      <w:tblPr>
        <w:tblStyle w:val="TableGrid"/>
        <w:tblW w:w="9468" w:type="dxa"/>
        <w:tblLook w:val="04A0" w:firstRow="1" w:lastRow="0" w:firstColumn="1" w:lastColumn="0" w:noHBand="0" w:noVBand="1"/>
      </w:tblPr>
      <w:tblGrid>
        <w:gridCol w:w="3156"/>
        <w:gridCol w:w="4152"/>
        <w:gridCol w:w="2160"/>
      </w:tblGrid>
      <w:tr w:rsidR="00611A4D" w:rsidRPr="002F31C0" w14:paraId="4C96667D" w14:textId="77777777" w:rsidTr="009A763F">
        <w:tc>
          <w:tcPr>
            <w:tcW w:w="3156" w:type="dxa"/>
            <w:vAlign w:val="center"/>
          </w:tcPr>
          <w:p w14:paraId="048DCCD4" w14:textId="77777777" w:rsidR="00611A4D" w:rsidRPr="002F31C0" w:rsidRDefault="00611A4D" w:rsidP="009A763F">
            <w:pPr>
              <w:jc w:val="center"/>
              <w:rPr>
                <w:rStyle w:val="Strong"/>
                <w:rFonts w:eastAsiaTheme="majorEastAsia"/>
                <w:sz w:val="22"/>
                <w:szCs w:val="22"/>
              </w:rPr>
            </w:pPr>
            <w:r w:rsidRPr="002F31C0">
              <w:rPr>
                <w:rStyle w:val="Strong"/>
                <w:rFonts w:eastAsiaTheme="majorEastAsia"/>
                <w:sz w:val="22"/>
                <w:szCs w:val="22"/>
              </w:rPr>
              <w:t>Designation</w:t>
            </w:r>
          </w:p>
        </w:tc>
        <w:tc>
          <w:tcPr>
            <w:tcW w:w="4152" w:type="dxa"/>
            <w:vAlign w:val="center"/>
          </w:tcPr>
          <w:p w14:paraId="4EF7A07B" w14:textId="77777777" w:rsidR="00611A4D" w:rsidRPr="002F31C0" w:rsidRDefault="00611A4D" w:rsidP="009A763F">
            <w:pPr>
              <w:jc w:val="center"/>
              <w:rPr>
                <w:rStyle w:val="Strong"/>
                <w:rFonts w:eastAsiaTheme="majorEastAsia"/>
                <w:sz w:val="22"/>
                <w:szCs w:val="22"/>
              </w:rPr>
            </w:pPr>
            <w:r w:rsidRPr="002F31C0">
              <w:rPr>
                <w:rStyle w:val="Strong"/>
                <w:rFonts w:eastAsiaTheme="majorEastAsia"/>
                <w:sz w:val="22"/>
                <w:szCs w:val="22"/>
              </w:rPr>
              <w:t>Qualifications</w:t>
            </w:r>
          </w:p>
        </w:tc>
        <w:tc>
          <w:tcPr>
            <w:tcW w:w="2160" w:type="dxa"/>
            <w:vAlign w:val="center"/>
          </w:tcPr>
          <w:p w14:paraId="0CD46E41" w14:textId="77777777" w:rsidR="00611A4D" w:rsidRPr="002F31C0" w:rsidRDefault="00611A4D" w:rsidP="009A763F">
            <w:pPr>
              <w:jc w:val="center"/>
              <w:rPr>
                <w:rStyle w:val="Strong"/>
                <w:rFonts w:eastAsiaTheme="majorEastAsia"/>
                <w:sz w:val="22"/>
                <w:szCs w:val="22"/>
              </w:rPr>
            </w:pPr>
            <w:r w:rsidRPr="002F31C0">
              <w:rPr>
                <w:rStyle w:val="Strong"/>
                <w:rFonts w:eastAsiaTheme="majorEastAsia"/>
                <w:sz w:val="22"/>
                <w:szCs w:val="22"/>
              </w:rPr>
              <w:t>Years of Experience</w:t>
            </w:r>
          </w:p>
        </w:tc>
      </w:tr>
      <w:tr w:rsidR="00611A4D" w:rsidRPr="002F31C0" w14:paraId="0BF1FE87" w14:textId="77777777" w:rsidTr="009A763F">
        <w:tc>
          <w:tcPr>
            <w:tcW w:w="3156" w:type="dxa"/>
          </w:tcPr>
          <w:p w14:paraId="40E6B010" w14:textId="77777777" w:rsidR="00611A4D" w:rsidRPr="002F31C0" w:rsidRDefault="00611A4D" w:rsidP="009A763F">
            <w:pPr>
              <w:pStyle w:val="Normal4"/>
              <w:spacing w:line="240" w:lineRule="auto"/>
              <w:rPr>
                <w:rFonts w:ascii="Times New Roman" w:hAnsi="Times New Roman" w:cs="Times New Roman"/>
                <w:sz w:val="22"/>
                <w:szCs w:val="22"/>
              </w:rPr>
            </w:pPr>
            <w:r w:rsidRPr="002F31C0">
              <w:rPr>
                <w:rFonts w:ascii="Times New Roman" w:eastAsia="Times New Roman" w:hAnsi="Times New Roman" w:cs="Times New Roman"/>
                <w:sz w:val="22"/>
                <w:szCs w:val="22"/>
              </w:rPr>
              <w:t>Team Leader (1)</w:t>
            </w:r>
          </w:p>
        </w:tc>
        <w:tc>
          <w:tcPr>
            <w:tcW w:w="4152" w:type="dxa"/>
          </w:tcPr>
          <w:p w14:paraId="6CFD29CE" w14:textId="77777777" w:rsidR="00611A4D" w:rsidRPr="002F31C0" w:rsidRDefault="00611A4D" w:rsidP="009A763F">
            <w:pPr>
              <w:pStyle w:val="Normal4"/>
              <w:spacing w:line="240" w:lineRule="auto"/>
              <w:jc w:val="both"/>
              <w:rPr>
                <w:rFonts w:ascii="Times New Roman" w:hAnsi="Times New Roman" w:cs="Times New Roman"/>
                <w:sz w:val="22"/>
                <w:szCs w:val="22"/>
              </w:rPr>
            </w:pPr>
            <w:r w:rsidRPr="002F31C0">
              <w:rPr>
                <w:rFonts w:ascii="Times New Roman" w:eastAsia="Times New Roman" w:hAnsi="Times New Roman" w:cs="Times New Roman"/>
                <w:sz w:val="22"/>
                <w:szCs w:val="22"/>
              </w:rPr>
              <w:t xml:space="preserve">Master of Urban and Regional Planning, Urban Development/Management, Regional Development or Urban Design with at least </w:t>
            </w:r>
            <w:r w:rsidRPr="002F31C0">
              <w:rPr>
                <w:rFonts w:ascii="Times New Roman" w:eastAsia="Times New Roman" w:hAnsi="Times New Roman" w:cs="Times New Roman"/>
                <w:sz w:val="22"/>
                <w:szCs w:val="22"/>
              </w:rPr>
              <w:lastRenderedPageBreak/>
              <w:t xml:space="preserve">five years of professional work experience </w:t>
            </w:r>
            <w:r w:rsidRPr="002F31C0">
              <w:rPr>
                <w:rFonts w:ascii="Times New Roman" w:eastAsia="Times New Roman" w:hAnsi="Times New Roman" w:cs="Times New Roman"/>
                <w:b/>
                <w:sz w:val="22"/>
                <w:szCs w:val="22"/>
              </w:rPr>
              <w:t>OR</w:t>
            </w:r>
            <w:r w:rsidRPr="002F31C0">
              <w:rPr>
                <w:rFonts w:ascii="Times New Roman" w:eastAsia="Times New Roman" w:hAnsi="Times New Roman" w:cs="Times New Roman"/>
                <w:sz w:val="22"/>
                <w:szCs w:val="22"/>
              </w:rPr>
              <w:t xml:space="preserve"> Bachelor of Urban and Regional Planning, Urban Development/Management, Regional Development or Urban Design with at least ten years of professional work experience </w:t>
            </w:r>
            <w:r w:rsidRPr="002F31C0">
              <w:rPr>
                <w:rFonts w:ascii="Times New Roman" w:eastAsia="Times New Roman" w:hAnsi="Times New Roman" w:cs="Times New Roman"/>
                <w:b/>
                <w:sz w:val="22"/>
                <w:szCs w:val="22"/>
              </w:rPr>
              <w:t>OR</w:t>
            </w:r>
            <w:r w:rsidRPr="002F31C0">
              <w:rPr>
                <w:rFonts w:ascii="Times New Roman" w:eastAsia="Times New Roman" w:hAnsi="Times New Roman" w:cs="Times New Roman"/>
                <w:sz w:val="22"/>
                <w:szCs w:val="22"/>
              </w:rPr>
              <w:t xml:space="preserve"> Post graduate/Diploma Urban and Regional Planning, Urban Development/Management, Regional Development or Urban Design with at least fifteen years of professional work experience.</w:t>
            </w:r>
          </w:p>
        </w:tc>
        <w:tc>
          <w:tcPr>
            <w:tcW w:w="2160" w:type="dxa"/>
          </w:tcPr>
          <w:p w14:paraId="4739B56D" w14:textId="77777777" w:rsidR="00611A4D" w:rsidRPr="002F31C0" w:rsidRDefault="00611A4D" w:rsidP="009A763F">
            <w:pPr>
              <w:pStyle w:val="Normal4"/>
              <w:spacing w:line="240" w:lineRule="auto"/>
              <w:jc w:val="both"/>
              <w:rPr>
                <w:rFonts w:ascii="Times New Roman" w:hAnsi="Times New Roman" w:cs="Times New Roman"/>
                <w:sz w:val="22"/>
                <w:szCs w:val="22"/>
              </w:rPr>
            </w:pPr>
            <w:r w:rsidRPr="002F31C0">
              <w:rPr>
                <w:rFonts w:ascii="Times New Roman" w:eastAsia="Times New Roman" w:hAnsi="Times New Roman" w:cs="Times New Roman"/>
                <w:sz w:val="22"/>
                <w:szCs w:val="22"/>
              </w:rPr>
              <w:lastRenderedPageBreak/>
              <w:t>5 / 10 / 15</w:t>
            </w:r>
          </w:p>
        </w:tc>
      </w:tr>
      <w:tr w:rsidR="00611A4D" w:rsidRPr="002F31C0" w14:paraId="5CB4D381" w14:textId="77777777" w:rsidTr="009A763F">
        <w:tc>
          <w:tcPr>
            <w:tcW w:w="3156" w:type="dxa"/>
          </w:tcPr>
          <w:p w14:paraId="5DBE320B" w14:textId="77777777" w:rsidR="00611A4D" w:rsidRPr="002F31C0" w:rsidRDefault="00611A4D" w:rsidP="009A763F">
            <w:pPr>
              <w:pStyle w:val="Normal4"/>
              <w:spacing w:line="240" w:lineRule="auto"/>
              <w:rPr>
                <w:rFonts w:ascii="Times New Roman" w:hAnsi="Times New Roman" w:cs="Times New Roman"/>
                <w:sz w:val="22"/>
                <w:szCs w:val="22"/>
              </w:rPr>
            </w:pPr>
            <w:r w:rsidRPr="002F31C0">
              <w:rPr>
                <w:rFonts w:ascii="Times New Roman" w:eastAsia="Times New Roman" w:hAnsi="Times New Roman" w:cs="Times New Roman"/>
                <w:sz w:val="22"/>
                <w:szCs w:val="22"/>
              </w:rPr>
              <w:lastRenderedPageBreak/>
              <w:t>Urban Designer (1)</w:t>
            </w:r>
          </w:p>
        </w:tc>
        <w:tc>
          <w:tcPr>
            <w:tcW w:w="4152" w:type="dxa"/>
          </w:tcPr>
          <w:p w14:paraId="6492C841" w14:textId="77777777" w:rsidR="00611A4D" w:rsidRPr="002F31C0" w:rsidRDefault="00611A4D" w:rsidP="009A763F">
            <w:pPr>
              <w:pStyle w:val="Normal4"/>
              <w:spacing w:line="240" w:lineRule="auto"/>
              <w:jc w:val="both"/>
              <w:rPr>
                <w:rFonts w:ascii="Times New Roman" w:hAnsi="Times New Roman" w:cs="Times New Roman"/>
                <w:sz w:val="22"/>
                <w:szCs w:val="22"/>
              </w:rPr>
            </w:pPr>
            <w:r w:rsidRPr="002F31C0">
              <w:rPr>
                <w:rFonts w:ascii="Times New Roman" w:eastAsia="Times New Roman" w:hAnsi="Times New Roman" w:cs="Times New Roman"/>
                <w:sz w:val="22"/>
                <w:szCs w:val="22"/>
              </w:rPr>
              <w:t xml:space="preserve">Master’s degree with at least five years of work experience </w:t>
            </w:r>
            <w:r w:rsidRPr="002F31C0">
              <w:rPr>
                <w:rFonts w:ascii="Times New Roman" w:eastAsia="Times New Roman" w:hAnsi="Times New Roman" w:cs="Times New Roman"/>
                <w:b/>
                <w:sz w:val="22"/>
                <w:szCs w:val="22"/>
              </w:rPr>
              <w:t>OR</w:t>
            </w:r>
            <w:r w:rsidRPr="002F31C0">
              <w:rPr>
                <w:rFonts w:ascii="Times New Roman" w:eastAsia="Times New Roman" w:hAnsi="Times New Roman" w:cs="Times New Roman"/>
                <w:sz w:val="22"/>
                <w:szCs w:val="22"/>
              </w:rPr>
              <w:t xml:space="preserve"> Bachelor’s degree with at least ten years of work experience </w:t>
            </w:r>
            <w:r w:rsidRPr="002F31C0">
              <w:rPr>
                <w:rFonts w:ascii="Times New Roman" w:eastAsia="Times New Roman" w:hAnsi="Times New Roman" w:cs="Times New Roman"/>
                <w:b/>
                <w:sz w:val="22"/>
                <w:szCs w:val="22"/>
              </w:rPr>
              <w:t>OR</w:t>
            </w:r>
            <w:r w:rsidRPr="002F31C0">
              <w:rPr>
                <w:rFonts w:ascii="Times New Roman" w:eastAsia="Times New Roman" w:hAnsi="Times New Roman" w:cs="Times New Roman"/>
                <w:sz w:val="22"/>
                <w:szCs w:val="22"/>
              </w:rPr>
              <w:t xml:space="preserve"> Diploma degree with at least fifteen years of professional work experience.</w:t>
            </w:r>
          </w:p>
        </w:tc>
        <w:tc>
          <w:tcPr>
            <w:tcW w:w="2160" w:type="dxa"/>
          </w:tcPr>
          <w:p w14:paraId="6E1953E8" w14:textId="77777777" w:rsidR="00611A4D" w:rsidRPr="002F31C0" w:rsidRDefault="00611A4D" w:rsidP="009A763F">
            <w:pPr>
              <w:pStyle w:val="Normal4"/>
              <w:spacing w:line="240" w:lineRule="auto"/>
              <w:jc w:val="both"/>
              <w:rPr>
                <w:rFonts w:ascii="Times New Roman" w:hAnsi="Times New Roman" w:cs="Times New Roman"/>
                <w:sz w:val="22"/>
                <w:szCs w:val="22"/>
              </w:rPr>
            </w:pPr>
            <w:r w:rsidRPr="002F31C0">
              <w:rPr>
                <w:rFonts w:ascii="Times New Roman" w:eastAsia="Times New Roman" w:hAnsi="Times New Roman" w:cs="Times New Roman"/>
                <w:sz w:val="22"/>
                <w:szCs w:val="22"/>
              </w:rPr>
              <w:t>5 / 10 / 15</w:t>
            </w:r>
          </w:p>
        </w:tc>
      </w:tr>
      <w:tr w:rsidR="00611A4D" w:rsidRPr="002F31C0" w14:paraId="22868D22" w14:textId="77777777" w:rsidTr="009A763F">
        <w:tc>
          <w:tcPr>
            <w:tcW w:w="3156" w:type="dxa"/>
          </w:tcPr>
          <w:p w14:paraId="2022EF2E" w14:textId="77777777" w:rsidR="00611A4D" w:rsidRPr="002F31C0" w:rsidRDefault="00611A4D" w:rsidP="009A763F">
            <w:pPr>
              <w:pStyle w:val="Normal4"/>
              <w:spacing w:line="240" w:lineRule="auto"/>
              <w:rPr>
                <w:rFonts w:ascii="Times New Roman" w:hAnsi="Times New Roman" w:cs="Times New Roman"/>
                <w:sz w:val="22"/>
                <w:szCs w:val="22"/>
              </w:rPr>
            </w:pPr>
            <w:r w:rsidRPr="002F31C0">
              <w:rPr>
                <w:rFonts w:ascii="Times New Roman" w:eastAsia="Times New Roman" w:hAnsi="Times New Roman" w:cs="Times New Roman"/>
                <w:sz w:val="22"/>
                <w:szCs w:val="22"/>
              </w:rPr>
              <w:t>Engineer / Infrastructure Specialist (1)</w:t>
            </w:r>
          </w:p>
        </w:tc>
        <w:tc>
          <w:tcPr>
            <w:tcW w:w="4152" w:type="dxa"/>
          </w:tcPr>
          <w:p w14:paraId="773E8017" w14:textId="77777777" w:rsidR="00611A4D" w:rsidRPr="002F31C0" w:rsidRDefault="00611A4D" w:rsidP="009A763F">
            <w:pPr>
              <w:pStyle w:val="Normal4"/>
              <w:spacing w:line="240" w:lineRule="auto"/>
              <w:jc w:val="both"/>
              <w:rPr>
                <w:rFonts w:ascii="Times New Roman" w:hAnsi="Times New Roman" w:cs="Times New Roman"/>
                <w:sz w:val="22"/>
                <w:szCs w:val="22"/>
              </w:rPr>
            </w:pPr>
            <w:r w:rsidRPr="002F31C0">
              <w:rPr>
                <w:rFonts w:ascii="Times New Roman" w:eastAsia="Times New Roman" w:hAnsi="Times New Roman" w:cs="Times New Roman"/>
                <w:sz w:val="22"/>
                <w:szCs w:val="22"/>
              </w:rPr>
              <w:t>Degree in Civil Engineering plus demonstrable experience in planning of urban infrastructure.</w:t>
            </w:r>
          </w:p>
        </w:tc>
        <w:tc>
          <w:tcPr>
            <w:tcW w:w="2160" w:type="dxa"/>
          </w:tcPr>
          <w:p w14:paraId="33C4DE07" w14:textId="77777777" w:rsidR="00611A4D" w:rsidRPr="002F31C0" w:rsidRDefault="00611A4D" w:rsidP="009A763F">
            <w:pPr>
              <w:pStyle w:val="Normal4"/>
              <w:spacing w:line="240" w:lineRule="auto"/>
              <w:jc w:val="both"/>
              <w:rPr>
                <w:rFonts w:ascii="Times New Roman" w:hAnsi="Times New Roman" w:cs="Times New Roman"/>
                <w:sz w:val="22"/>
                <w:szCs w:val="22"/>
              </w:rPr>
            </w:pPr>
            <w:r w:rsidRPr="002F31C0">
              <w:rPr>
                <w:rFonts w:ascii="Times New Roman" w:eastAsia="Times New Roman" w:hAnsi="Times New Roman" w:cs="Times New Roman"/>
                <w:sz w:val="22"/>
                <w:szCs w:val="22"/>
              </w:rPr>
              <w:t>5 years</w:t>
            </w:r>
          </w:p>
        </w:tc>
      </w:tr>
      <w:tr w:rsidR="00611A4D" w:rsidRPr="002F31C0" w14:paraId="2230C266" w14:textId="77777777" w:rsidTr="009A763F">
        <w:tc>
          <w:tcPr>
            <w:tcW w:w="3156" w:type="dxa"/>
          </w:tcPr>
          <w:p w14:paraId="1EE11BFC" w14:textId="77777777" w:rsidR="00611A4D" w:rsidRPr="002F31C0" w:rsidRDefault="00611A4D" w:rsidP="009A763F">
            <w:pPr>
              <w:pStyle w:val="Normal4"/>
              <w:spacing w:line="240" w:lineRule="auto"/>
              <w:rPr>
                <w:rFonts w:ascii="Times New Roman" w:hAnsi="Times New Roman" w:cs="Times New Roman"/>
                <w:sz w:val="22"/>
                <w:szCs w:val="22"/>
              </w:rPr>
            </w:pPr>
            <w:r w:rsidRPr="002F31C0">
              <w:rPr>
                <w:rFonts w:ascii="Times New Roman" w:eastAsia="Times New Roman" w:hAnsi="Times New Roman" w:cs="Times New Roman"/>
                <w:sz w:val="22"/>
                <w:szCs w:val="22"/>
              </w:rPr>
              <w:t>Transport Planner (1)</w:t>
            </w:r>
          </w:p>
        </w:tc>
        <w:tc>
          <w:tcPr>
            <w:tcW w:w="4152" w:type="dxa"/>
          </w:tcPr>
          <w:p w14:paraId="3CFB42BA" w14:textId="77777777" w:rsidR="00611A4D" w:rsidRPr="002F31C0" w:rsidRDefault="00611A4D" w:rsidP="009A763F">
            <w:pPr>
              <w:pStyle w:val="Normal4"/>
              <w:spacing w:line="240" w:lineRule="auto"/>
              <w:jc w:val="both"/>
              <w:rPr>
                <w:rFonts w:ascii="Times New Roman" w:hAnsi="Times New Roman" w:cs="Times New Roman"/>
                <w:sz w:val="22"/>
                <w:szCs w:val="22"/>
              </w:rPr>
            </w:pPr>
            <w:r w:rsidRPr="002F31C0">
              <w:rPr>
                <w:rFonts w:ascii="Times New Roman" w:eastAsia="Times New Roman" w:hAnsi="Times New Roman" w:cs="Times New Roman"/>
                <w:sz w:val="22"/>
                <w:szCs w:val="22"/>
              </w:rPr>
              <w:t>Minimum five years of relevant work experience and should have a degree/specialization in transport planning</w:t>
            </w:r>
          </w:p>
        </w:tc>
        <w:tc>
          <w:tcPr>
            <w:tcW w:w="2160" w:type="dxa"/>
          </w:tcPr>
          <w:p w14:paraId="0E3BAB8C" w14:textId="77777777" w:rsidR="00611A4D" w:rsidRPr="002F31C0" w:rsidRDefault="00611A4D" w:rsidP="009A763F">
            <w:pPr>
              <w:pStyle w:val="Normal4"/>
              <w:spacing w:line="240" w:lineRule="auto"/>
              <w:jc w:val="both"/>
              <w:rPr>
                <w:rFonts w:ascii="Times New Roman" w:hAnsi="Times New Roman" w:cs="Times New Roman"/>
                <w:sz w:val="22"/>
                <w:szCs w:val="22"/>
              </w:rPr>
            </w:pPr>
            <w:r w:rsidRPr="002F31C0">
              <w:rPr>
                <w:rFonts w:ascii="Times New Roman" w:eastAsia="Times New Roman" w:hAnsi="Times New Roman" w:cs="Times New Roman"/>
                <w:sz w:val="22"/>
                <w:szCs w:val="22"/>
              </w:rPr>
              <w:t>5 years</w:t>
            </w:r>
          </w:p>
        </w:tc>
      </w:tr>
      <w:tr w:rsidR="00611A4D" w:rsidRPr="002F31C0" w14:paraId="4ACEB809" w14:textId="77777777" w:rsidTr="009A763F">
        <w:tc>
          <w:tcPr>
            <w:tcW w:w="3156" w:type="dxa"/>
          </w:tcPr>
          <w:p w14:paraId="439E80CC" w14:textId="77777777" w:rsidR="00611A4D" w:rsidRPr="002F31C0" w:rsidRDefault="00611A4D" w:rsidP="009A763F">
            <w:pPr>
              <w:pStyle w:val="Normal4"/>
              <w:spacing w:line="240" w:lineRule="auto"/>
              <w:rPr>
                <w:rFonts w:ascii="Times New Roman" w:hAnsi="Times New Roman" w:cs="Times New Roman"/>
                <w:sz w:val="22"/>
                <w:szCs w:val="22"/>
              </w:rPr>
            </w:pPr>
            <w:r w:rsidRPr="002F31C0">
              <w:rPr>
                <w:rFonts w:ascii="Times New Roman" w:eastAsia="Times New Roman" w:hAnsi="Times New Roman" w:cs="Times New Roman"/>
                <w:sz w:val="22"/>
                <w:szCs w:val="22"/>
              </w:rPr>
              <w:t>Social-Economist Specialist (1)</w:t>
            </w:r>
          </w:p>
        </w:tc>
        <w:tc>
          <w:tcPr>
            <w:tcW w:w="4152" w:type="dxa"/>
          </w:tcPr>
          <w:p w14:paraId="32BFDF5D" w14:textId="77777777" w:rsidR="00611A4D" w:rsidRPr="002F31C0" w:rsidRDefault="00611A4D" w:rsidP="009A763F">
            <w:pPr>
              <w:pStyle w:val="Normal4"/>
              <w:spacing w:line="240" w:lineRule="auto"/>
              <w:jc w:val="both"/>
              <w:rPr>
                <w:rFonts w:ascii="Times New Roman" w:hAnsi="Times New Roman" w:cs="Times New Roman"/>
                <w:sz w:val="22"/>
                <w:szCs w:val="22"/>
              </w:rPr>
            </w:pPr>
            <w:r w:rsidRPr="002F31C0">
              <w:rPr>
                <w:rFonts w:ascii="Times New Roman" w:eastAsia="Times New Roman" w:hAnsi="Times New Roman" w:cs="Times New Roman"/>
                <w:sz w:val="22"/>
                <w:szCs w:val="22"/>
              </w:rPr>
              <w:t>Minimum five years of relevant work experience and should be a socio-economist with degree/specialization in Economics.</w:t>
            </w:r>
          </w:p>
        </w:tc>
        <w:tc>
          <w:tcPr>
            <w:tcW w:w="2160" w:type="dxa"/>
          </w:tcPr>
          <w:p w14:paraId="05E8B0AE" w14:textId="77777777" w:rsidR="00611A4D" w:rsidRPr="002F31C0" w:rsidRDefault="00611A4D" w:rsidP="009A763F">
            <w:pPr>
              <w:pStyle w:val="Normal4"/>
              <w:spacing w:line="240" w:lineRule="auto"/>
              <w:jc w:val="both"/>
              <w:rPr>
                <w:rFonts w:ascii="Times New Roman" w:hAnsi="Times New Roman" w:cs="Times New Roman"/>
                <w:sz w:val="22"/>
                <w:szCs w:val="22"/>
              </w:rPr>
            </w:pPr>
            <w:r w:rsidRPr="002F31C0">
              <w:rPr>
                <w:rFonts w:ascii="Times New Roman" w:eastAsia="Times New Roman" w:hAnsi="Times New Roman" w:cs="Times New Roman"/>
                <w:sz w:val="22"/>
                <w:szCs w:val="22"/>
              </w:rPr>
              <w:t>5 years</w:t>
            </w:r>
          </w:p>
        </w:tc>
      </w:tr>
      <w:tr w:rsidR="00611A4D" w:rsidRPr="002F31C0" w14:paraId="03EA48E7" w14:textId="77777777" w:rsidTr="009A763F">
        <w:tc>
          <w:tcPr>
            <w:tcW w:w="3156" w:type="dxa"/>
          </w:tcPr>
          <w:p w14:paraId="77770D47" w14:textId="77777777" w:rsidR="00611A4D" w:rsidRPr="002F31C0" w:rsidRDefault="00611A4D" w:rsidP="009A763F">
            <w:pPr>
              <w:pStyle w:val="Normal4"/>
              <w:spacing w:line="240" w:lineRule="auto"/>
              <w:rPr>
                <w:rFonts w:ascii="Times New Roman" w:hAnsi="Times New Roman" w:cs="Times New Roman"/>
                <w:sz w:val="22"/>
                <w:szCs w:val="22"/>
              </w:rPr>
            </w:pPr>
            <w:r w:rsidRPr="002F31C0">
              <w:rPr>
                <w:rFonts w:ascii="Times New Roman" w:eastAsia="Times New Roman" w:hAnsi="Times New Roman" w:cs="Times New Roman"/>
                <w:sz w:val="22"/>
                <w:szCs w:val="22"/>
              </w:rPr>
              <w:t>Environmental Specialist (1)</w:t>
            </w:r>
          </w:p>
        </w:tc>
        <w:tc>
          <w:tcPr>
            <w:tcW w:w="4152" w:type="dxa"/>
          </w:tcPr>
          <w:p w14:paraId="2D455F18" w14:textId="77777777" w:rsidR="00611A4D" w:rsidRPr="002F31C0" w:rsidRDefault="00611A4D" w:rsidP="009A763F">
            <w:pPr>
              <w:pStyle w:val="Normal4"/>
              <w:spacing w:line="240" w:lineRule="auto"/>
              <w:jc w:val="both"/>
              <w:rPr>
                <w:rFonts w:ascii="Times New Roman" w:hAnsi="Times New Roman" w:cs="Times New Roman"/>
                <w:sz w:val="22"/>
                <w:szCs w:val="22"/>
              </w:rPr>
            </w:pPr>
            <w:r w:rsidRPr="002F31C0">
              <w:rPr>
                <w:rFonts w:ascii="Times New Roman" w:eastAsia="Times New Roman" w:hAnsi="Times New Roman" w:cs="Times New Roman"/>
                <w:sz w:val="22"/>
                <w:szCs w:val="22"/>
              </w:rPr>
              <w:t>Degree in environment management/ Science.</w:t>
            </w:r>
          </w:p>
        </w:tc>
        <w:tc>
          <w:tcPr>
            <w:tcW w:w="2160" w:type="dxa"/>
          </w:tcPr>
          <w:p w14:paraId="595DF0C3" w14:textId="77777777" w:rsidR="00611A4D" w:rsidRPr="002F31C0" w:rsidRDefault="00611A4D" w:rsidP="009A763F">
            <w:pPr>
              <w:pStyle w:val="Normal4"/>
              <w:spacing w:line="240" w:lineRule="auto"/>
              <w:jc w:val="both"/>
              <w:rPr>
                <w:rFonts w:ascii="Times New Roman" w:hAnsi="Times New Roman" w:cs="Times New Roman"/>
                <w:sz w:val="22"/>
                <w:szCs w:val="22"/>
              </w:rPr>
            </w:pPr>
            <w:r w:rsidRPr="002F31C0">
              <w:rPr>
                <w:rFonts w:ascii="Times New Roman" w:eastAsia="Times New Roman" w:hAnsi="Times New Roman" w:cs="Times New Roman"/>
                <w:sz w:val="22"/>
                <w:szCs w:val="22"/>
              </w:rPr>
              <w:t>5 years</w:t>
            </w:r>
          </w:p>
        </w:tc>
      </w:tr>
    </w:tbl>
    <w:p w14:paraId="4DFB7426" w14:textId="77777777" w:rsidR="00611A4D" w:rsidRPr="002F31C0" w:rsidRDefault="00611A4D" w:rsidP="00611A4D">
      <w:pPr>
        <w:pStyle w:val="Paragraph"/>
        <w:numPr>
          <w:ilvl w:val="0"/>
          <w:numId w:val="0"/>
        </w:numPr>
        <w:jc w:val="left"/>
        <w:rPr>
          <w:b/>
          <w:i/>
          <w:sz w:val="22"/>
          <w:szCs w:val="22"/>
        </w:rPr>
      </w:pPr>
      <w:r w:rsidRPr="002F31C0">
        <w:rPr>
          <w:b/>
          <w:i/>
          <w:sz w:val="22"/>
          <w:szCs w:val="22"/>
        </w:rPr>
        <w:t>Notes:</w:t>
      </w:r>
    </w:p>
    <w:p w14:paraId="42A3B26B" w14:textId="77777777" w:rsidR="00611A4D" w:rsidRPr="002F31C0" w:rsidRDefault="00611A4D" w:rsidP="00611A4D">
      <w:pPr>
        <w:pStyle w:val="Paragraph"/>
        <w:numPr>
          <w:ilvl w:val="0"/>
          <w:numId w:val="26"/>
        </w:numPr>
        <w:ind w:firstLine="0"/>
        <w:jc w:val="left"/>
        <w:rPr>
          <w:sz w:val="22"/>
          <w:szCs w:val="22"/>
        </w:rPr>
      </w:pPr>
      <w:r w:rsidRPr="002F31C0">
        <w:rPr>
          <w:sz w:val="22"/>
          <w:szCs w:val="22"/>
        </w:rPr>
        <w:t>The Team Leader should be an urban planner or urban designer</w:t>
      </w:r>
    </w:p>
    <w:p w14:paraId="1D0079D5" w14:textId="77777777" w:rsidR="00611A4D" w:rsidRPr="002F31C0" w:rsidRDefault="00611A4D" w:rsidP="00611A4D">
      <w:pPr>
        <w:pStyle w:val="Paragraph"/>
        <w:numPr>
          <w:ilvl w:val="0"/>
          <w:numId w:val="26"/>
        </w:numPr>
        <w:ind w:firstLine="0"/>
        <w:jc w:val="left"/>
        <w:rPr>
          <w:sz w:val="22"/>
          <w:szCs w:val="22"/>
        </w:rPr>
      </w:pPr>
      <w:r w:rsidRPr="002F31C0">
        <w:rPr>
          <w:sz w:val="22"/>
          <w:szCs w:val="22"/>
        </w:rPr>
        <w:t>There shall be at least an urban planner and urban designer each in the consultants’ team either as a team leader or as a member(s)</w:t>
      </w:r>
    </w:p>
    <w:p w14:paraId="364E9461" w14:textId="77777777" w:rsidR="00611A4D" w:rsidRPr="002F31C0" w:rsidRDefault="00611A4D" w:rsidP="00611A4D">
      <w:pPr>
        <w:pStyle w:val="Paragraph"/>
        <w:numPr>
          <w:ilvl w:val="0"/>
          <w:numId w:val="26"/>
        </w:numPr>
        <w:ind w:firstLine="0"/>
        <w:jc w:val="left"/>
        <w:rPr>
          <w:sz w:val="22"/>
          <w:szCs w:val="22"/>
        </w:rPr>
      </w:pPr>
      <w:r w:rsidRPr="002F31C0">
        <w:rPr>
          <w:sz w:val="22"/>
          <w:szCs w:val="22"/>
        </w:rPr>
        <w:t>All work experience of key personnel shall be supported by proper work completion certificates and degree certificates with CVs signed by the key personnel and countersigned by the employers</w:t>
      </w:r>
    </w:p>
    <w:p w14:paraId="7F9F2952" w14:textId="77777777" w:rsidR="00611A4D" w:rsidRPr="002F31C0" w:rsidRDefault="00611A4D" w:rsidP="00611A4D">
      <w:pPr>
        <w:pStyle w:val="Paragraph"/>
        <w:numPr>
          <w:ilvl w:val="0"/>
          <w:numId w:val="26"/>
        </w:numPr>
        <w:ind w:firstLine="0"/>
        <w:jc w:val="left"/>
        <w:rPr>
          <w:sz w:val="22"/>
          <w:szCs w:val="22"/>
        </w:rPr>
      </w:pPr>
      <w:r w:rsidRPr="002F31C0">
        <w:rPr>
          <w:sz w:val="22"/>
          <w:szCs w:val="22"/>
        </w:rPr>
        <w:t>People with work experience in Maldives or similar regions will be considered an advantage</w:t>
      </w:r>
    </w:p>
    <w:p w14:paraId="1801380F" w14:textId="77777777" w:rsidR="00611A4D" w:rsidRDefault="00611A4D" w:rsidP="00611A4D">
      <w:pPr>
        <w:pStyle w:val="Heading1"/>
        <w:rPr>
          <w:rFonts w:cs="MV Boli"/>
          <w:sz w:val="22"/>
          <w:rtl/>
          <w:lang w:bidi="dv-MV"/>
        </w:rPr>
      </w:pPr>
    </w:p>
    <w:p w14:paraId="01D0684D" w14:textId="77777777" w:rsidR="00611A4D" w:rsidRPr="002F31C0" w:rsidRDefault="00611A4D" w:rsidP="00611A4D">
      <w:pPr>
        <w:pStyle w:val="Heading1"/>
        <w:rPr>
          <w:rFonts w:cs="Times New Roman"/>
          <w:sz w:val="22"/>
        </w:rPr>
      </w:pPr>
    </w:p>
    <w:p w14:paraId="333E0513" w14:textId="77777777" w:rsidR="00611A4D" w:rsidRPr="002F31C0" w:rsidRDefault="00611A4D" w:rsidP="00611A4D">
      <w:pPr>
        <w:pStyle w:val="Heading1"/>
        <w:rPr>
          <w:rFonts w:cs="Times New Roman"/>
          <w:sz w:val="22"/>
        </w:rPr>
      </w:pPr>
      <w:r w:rsidRPr="002F31C0">
        <w:rPr>
          <w:rFonts w:cs="Times New Roman"/>
          <w:sz w:val="22"/>
        </w:rPr>
        <w:t>Reporting and Client Support</w:t>
      </w:r>
    </w:p>
    <w:p w14:paraId="6D557F19" w14:textId="77777777" w:rsidR="00611A4D" w:rsidRPr="002F31C0" w:rsidRDefault="00611A4D" w:rsidP="00611A4D">
      <w:pPr>
        <w:pStyle w:val="Paragraph"/>
        <w:numPr>
          <w:ilvl w:val="0"/>
          <w:numId w:val="0"/>
        </w:numPr>
        <w:rPr>
          <w:sz w:val="22"/>
          <w:szCs w:val="22"/>
        </w:rPr>
      </w:pPr>
    </w:p>
    <w:p w14:paraId="3829CFDF" w14:textId="77777777" w:rsidR="00611A4D" w:rsidRPr="002F31C0" w:rsidRDefault="00611A4D" w:rsidP="00E16442">
      <w:pPr>
        <w:pStyle w:val="Paragraph"/>
        <w:numPr>
          <w:ilvl w:val="0"/>
          <w:numId w:val="37"/>
        </w:numPr>
        <w:rPr>
          <w:sz w:val="22"/>
          <w:szCs w:val="22"/>
          <w:lang w:eastAsia="en-GB"/>
        </w:rPr>
      </w:pPr>
      <w:r w:rsidRPr="002F31C0">
        <w:rPr>
          <w:sz w:val="22"/>
          <w:szCs w:val="22"/>
          <w:lang w:eastAsia="en-GB"/>
        </w:rPr>
        <w:t xml:space="preserve">The Consultant Team will work under the supervision of the </w:t>
      </w:r>
      <w:proofErr w:type="spellStart"/>
      <w:r w:rsidRPr="002F31C0">
        <w:rPr>
          <w:sz w:val="22"/>
          <w:szCs w:val="22"/>
          <w:lang w:eastAsia="en-GB"/>
        </w:rPr>
        <w:t>Fathimath</w:t>
      </w:r>
      <w:proofErr w:type="spellEnd"/>
      <w:r w:rsidRPr="002F31C0">
        <w:rPr>
          <w:sz w:val="22"/>
          <w:szCs w:val="22"/>
          <w:lang w:eastAsia="en-GB"/>
        </w:rPr>
        <w:t xml:space="preserve"> </w:t>
      </w:r>
      <w:proofErr w:type="spellStart"/>
      <w:r w:rsidRPr="002F31C0">
        <w:rPr>
          <w:sz w:val="22"/>
          <w:szCs w:val="22"/>
          <w:lang w:eastAsia="en-GB"/>
        </w:rPr>
        <w:t>Shaana</w:t>
      </w:r>
      <w:proofErr w:type="spellEnd"/>
      <w:r w:rsidRPr="002F31C0">
        <w:rPr>
          <w:sz w:val="22"/>
          <w:szCs w:val="22"/>
          <w:lang w:eastAsia="en-GB"/>
        </w:rPr>
        <w:t xml:space="preserve"> Farooq, Director of Project Management Unit, MNPI.</w:t>
      </w:r>
    </w:p>
    <w:p w14:paraId="37186F16" w14:textId="77777777" w:rsidR="00611A4D" w:rsidRPr="002F31C0" w:rsidRDefault="00611A4D" w:rsidP="00611A4D">
      <w:pPr>
        <w:pStyle w:val="Paragraph"/>
        <w:numPr>
          <w:ilvl w:val="0"/>
          <w:numId w:val="0"/>
        </w:numPr>
        <w:ind w:left="720"/>
        <w:rPr>
          <w:sz w:val="22"/>
          <w:szCs w:val="22"/>
          <w:lang w:eastAsia="en-GB"/>
        </w:rPr>
      </w:pPr>
    </w:p>
    <w:p w14:paraId="3F6A6700" w14:textId="77777777" w:rsidR="00611A4D" w:rsidRPr="002F31C0" w:rsidRDefault="00611A4D" w:rsidP="00E16442">
      <w:pPr>
        <w:pStyle w:val="Paragraph"/>
        <w:numPr>
          <w:ilvl w:val="0"/>
          <w:numId w:val="37"/>
        </w:numPr>
        <w:rPr>
          <w:sz w:val="22"/>
          <w:szCs w:val="22"/>
          <w:lang w:eastAsia="en-GB"/>
        </w:rPr>
      </w:pPr>
      <w:r w:rsidRPr="002F31C0">
        <w:rPr>
          <w:sz w:val="22"/>
          <w:szCs w:val="22"/>
          <w:lang w:eastAsia="en-GB"/>
        </w:rPr>
        <w:t xml:space="preserve">MNPI undertakes to avail to the consultant all such documents, laws, reports, maps, and plans in its possession as will be indicated in the inception report.  In addition, MNPI will provide the Consultant Team with relevant letters of introduction to any stakeholder when required by the </w:t>
      </w:r>
      <w:r w:rsidRPr="002F31C0">
        <w:rPr>
          <w:sz w:val="22"/>
          <w:szCs w:val="22"/>
          <w:lang w:eastAsia="en-GB"/>
        </w:rPr>
        <w:lastRenderedPageBreak/>
        <w:t>Consultant Team.  MNPI will provide timely feedback on the draft reports and plans submitted by the Consultant Team and coordinate presentations and meetings convened at MNPI.</w:t>
      </w:r>
    </w:p>
    <w:p w14:paraId="6FFE33D4" w14:textId="77777777" w:rsidR="00611A4D" w:rsidRPr="002F31C0" w:rsidRDefault="00611A4D" w:rsidP="00611A4D">
      <w:pPr>
        <w:pStyle w:val="ListParagraph"/>
        <w:spacing w:line="240" w:lineRule="auto"/>
        <w:rPr>
          <w:rFonts w:ascii="Times New Roman" w:hAnsi="Times New Roman" w:cs="Times New Roman"/>
          <w:lang w:eastAsia="en-GB"/>
        </w:rPr>
      </w:pPr>
    </w:p>
    <w:p w14:paraId="06173B23" w14:textId="77777777" w:rsidR="00611A4D" w:rsidRPr="002F31C0" w:rsidRDefault="00611A4D" w:rsidP="00611A4D">
      <w:pPr>
        <w:pStyle w:val="Paragraph"/>
        <w:numPr>
          <w:ilvl w:val="0"/>
          <w:numId w:val="0"/>
        </w:numPr>
        <w:rPr>
          <w:b/>
          <w:sz w:val="22"/>
          <w:szCs w:val="22"/>
          <w:lang w:eastAsia="en-GB"/>
        </w:rPr>
      </w:pPr>
      <w:r w:rsidRPr="002F31C0">
        <w:rPr>
          <w:b/>
          <w:sz w:val="22"/>
          <w:szCs w:val="22"/>
          <w:lang w:eastAsia="en-GB"/>
        </w:rPr>
        <w:t>Schedule of Payment</w:t>
      </w:r>
    </w:p>
    <w:p w14:paraId="44446F94" w14:textId="77777777" w:rsidR="00611A4D" w:rsidRPr="002F31C0" w:rsidRDefault="00611A4D" w:rsidP="00611A4D">
      <w:pPr>
        <w:pStyle w:val="Paragraph"/>
        <w:numPr>
          <w:ilvl w:val="0"/>
          <w:numId w:val="0"/>
        </w:numPr>
        <w:rPr>
          <w:b/>
          <w:sz w:val="22"/>
          <w:szCs w:val="22"/>
          <w:lang w:eastAsia="en-GB"/>
        </w:rPr>
      </w:pPr>
    </w:p>
    <w:p w14:paraId="10794DA5" w14:textId="77777777" w:rsidR="00611A4D" w:rsidRPr="002F31C0" w:rsidRDefault="00611A4D" w:rsidP="00E16442">
      <w:pPr>
        <w:pStyle w:val="Paragraph"/>
        <w:numPr>
          <w:ilvl w:val="0"/>
          <w:numId w:val="37"/>
        </w:numPr>
        <w:rPr>
          <w:sz w:val="22"/>
          <w:szCs w:val="22"/>
          <w:lang w:eastAsia="en-GB"/>
        </w:rPr>
      </w:pPr>
      <w:r w:rsidRPr="002F31C0">
        <w:rPr>
          <w:sz w:val="22"/>
          <w:szCs w:val="22"/>
          <w:lang w:eastAsia="en-GB"/>
        </w:rPr>
        <w:t xml:space="preserve"> The mode of payment shall be as follows:</w:t>
      </w:r>
    </w:p>
    <w:p w14:paraId="18A4745B" w14:textId="77777777" w:rsidR="00611A4D" w:rsidRPr="002F31C0" w:rsidRDefault="00611A4D" w:rsidP="00611A4D">
      <w:pPr>
        <w:pStyle w:val="Paragraph"/>
        <w:numPr>
          <w:ilvl w:val="0"/>
          <w:numId w:val="0"/>
        </w:numPr>
        <w:rPr>
          <w:sz w:val="22"/>
          <w:szCs w:val="22"/>
          <w:lang w:eastAsia="en-GB"/>
        </w:rPr>
      </w:pPr>
    </w:p>
    <w:tbl>
      <w:tblPr>
        <w:tblStyle w:val="TableGrid"/>
        <w:tblW w:w="0" w:type="auto"/>
        <w:tblLook w:val="04A0" w:firstRow="1" w:lastRow="0" w:firstColumn="1" w:lastColumn="0" w:noHBand="0" w:noVBand="1"/>
      </w:tblPr>
      <w:tblGrid>
        <w:gridCol w:w="625"/>
        <w:gridCol w:w="4050"/>
        <w:gridCol w:w="4675"/>
      </w:tblGrid>
      <w:tr w:rsidR="00611A4D" w:rsidRPr="002F31C0" w14:paraId="3F80538F" w14:textId="77777777" w:rsidTr="009A763F">
        <w:tc>
          <w:tcPr>
            <w:tcW w:w="625" w:type="dxa"/>
          </w:tcPr>
          <w:p w14:paraId="7810907C" w14:textId="77777777" w:rsidR="00611A4D" w:rsidRPr="002F31C0" w:rsidRDefault="00611A4D" w:rsidP="009A763F">
            <w:pPr>
              <w:pStyle w:val="Paragraph"/>
              <w:numPr>
                <w:ilvl w:val="0"/>
                <w:numId w:val="0"/>
              </w:numPr>
              <w:rPr>
                <w:sz w:val="22"/>
                <w:szCs w:val="22"/>
                <w:lang w:eastAsia="en-GB"/>
              </w:rPr>
            </w:pPr>
          </w:p>
        </w:tc>
        <w:tc>
          <w:tcPr>
            <w:tcW w:w="4050" w:type="dxa"/>
          </w:tcPr>
          <w:p w14:paraId="2E83E58D" w14:textId="77777777" w:rsidR="00611A4D" w:rsidRPr="002F31C0" w:rsidRDefault="00611A4D" w:rsidP="009A763F">
            <w:pPr>
              <w:pStyle w:val="Paragraph"/>
              <w:numPr>
                <w:ilvl w:val="0"/>
                <w:numId w:val="0"/>
              </w:numPr>
              <w:rPr>
                <w:sz w:val="22"/>
                <w:szCs w:val="22"/>
                <w:lang w:eastAsia="en-GB"/>
              </w:rPr>
            </w:pPr>
            <w:r w:rsidRPr="002F31C0">
              <w:rPr>
                <w:sz w:val="22"/>
                <w:szCs w:val="22"/>
                <w:lang w:eastAsia="en-GB"/>
              </w:rPr>
              <w:t>Stages of Work</w:t>
            </w:r>
          </w:p>
        </w:tc>
        <w:tc>
          <w:tcPr>
            <w:tcW w:w="4675" w:type="dxa"/>
          </w:tcPr>
          <w:p w14:paraId="150A197B" w14:textId="77777777" w:rsidR="00611A4D" w:rsidRPr="002F31C0" w:rsidRDefault="00611A4D" w:rsidP="009A763F">
            <w:pPr>
              <w:pStyle w:val="Paragraph"/>
              <w:numPr>
                <w:ilvl w:val="0"/>
                <w:numId w:val="0"/>
              </w:numPr>
              <w:rPr>
                <w:sz w:val="22"/>
                <w:szCs w:val="22"/>
                <w:lang w:eastAsia="en-GB"/>
              </w:rPr>
            </w:pPr>
            <w:r w:rsidRPr="002F31C0">
              <w:rPr>
                <w:sz w:val="22"/>
                <w:szCs w:val="22"/>
                <w:lang w:eastAsia="en-GB"/>
              </w:rPr>
              <w:t>Amount Payable</w:t>
            </w:r>
          </w:p>
        </w:tc>
      </w:tr>
      <w:tr w:rsidR="00611A4D" w:rsidRPr="002F31C0" w14:paraId="2FF1AF05" w14:textId="77777777" w:rsidTr="009A763F">
        <w:tc>
          <w:tcPr>
            <w:tcW w:w="625" w:type="dxa"/>
          </w:tcPr>
          <w:p w14:paraId="3912608D" w14:textId="77777777" w:rsidR="00611A4D" w:rsidRPr="002F31C0" w:rsidRDefault="00611A4D" w:rsidP="009A763F">
            <w:pPr>
              <w:pStyle w:val="Paragraph"/>
              <w:numPr>
                <w:ilvl w:val="0"/>
                <w:numId w:val="0"/>
              </w:numPr>
              <w:rPr>
                <w:sz w:val="22"/>
                <w:szCs w:val="22"/>
                <w:lang w:eastAsia="en-GB"/>
              </w:rPr>
            </w:pPr>
            <w:r w:rsidRPr="002F31C0">
              <w:rPr>
                <w:sz w:val="22"/>
                <w:szCs w:val="22"/>
                <w:lang w:eastAsia="en-GB"/>
              </w:rPr>
              <w:t>1</w:t>
            </w:r>
          </w:p>
        </w:tc>
        <w:tc>
          <w:tcPr>
            <w:tcW w:w="4050" w:type="dxa"/>
          </w:tcPr>
          <w:p w14:paraId="110EE5A1" w14:textId="434EBEE8" w:rsidR="00611A4D" w:rsidRPr="002F31C0" w:rsidRDefault="00611A4D" w:rsidP="004A77D9">
            <w:pPr>
              <w:pStyle w:val="Paragraph"/>
              <w:numPr>
                <w:ilvl w:val="0"/>
                <w:numId w:val="0"/>
              </w:numPr>
              <w:jc w:val="left"/>
              <w:rPr>
                <w:sz w:val="22"/>
                <w:szCs w:val="22"/>
                <w:lang w:eastAsia="en-GB"/>
              </w:rPr>
            </w:pPr>
            <w:r w:rsidRPr="002F31C0">
              <w:rPr>
                <w:sz w:val="22"/>
                <w:szCs w:val="22"/>
                <w:lang w:eastAsia="en-GB"/>
              </w:rPr>
              <w:t xml:space="preserve">Upon </w:t>
            </w:r>
            <w:r w:rsidR="008C0F2C" w:rsidRPr="002F31C0">
              <w:rPr>
                <w:sz w:val="22"/>
                <w:szCs w:val="22"/>
                <w:lang w:eastAsia="en-GB"/>
              </w:rPr>
              <w:t>submission</w:t>
            </w:r>
            <w:r w:rsidR="008C0F2C">
              <w:rPr>
                <w:sz w:val="22"/>
                <w:szCs w:val="22"/>
                <w:lang w:eastAsia="en-GB"/>
              </w:rPr>
              <w:t>,</w:t>
            </w:r>
            <w:r w:rsidR="008C0F2C" w:rsidRPr="002F31C0">
              <w:rPr>
                <w:sz w:val="22"/>
                <w:szCs w:val="22"/>
                <w:lang w:eastAsia="en-GB"/>
              </w:rPr>
              <w:t xml:space="preserve"> review</w:t>
            </w:r>
            <w:r w:rsidR="004A77D9">
              <w:rPr>
                <w:sz w:val="22"/>
                <w:szCs w:val="22"/>
                <w:lang w:eastAsia="en-GB"/>
              </w:rPr>
              <w:t xml:space="preserve"> and </w:t>
            </w:r>
            <w:r w:rsidR="008C0F2C">
              <w:rPr>
                <w:sz w:val="22"/>
                <w:szCs w:val="22"/>
                <w:lang w:eastAsia="en-GB"/>
              </w:rPr>
              <w:t>acceptance</w:t>
            </w:r>
            <w:r w:rsidRPr="002F31C0">
              <w:rPr>
                <w:sz w:val="22"/>
                <w:szCs w:val="22"/>
                <w:lang w:eastAsia="en-GB"/>
              </w:rPr>
              <w:t xml:space="preserve"> of the inception report</w:t>
            </w:r>
          </w:p>
        </w:tc>
        <w:tc>
          <w:tcPr>
            <w:tcW w:w="4675" w:type="dxa"/>
          </w:tcPr>
          <w:p w14:paraId="038C1441" w14:textId="77777777" w:rsidR="00611A4D" w:rsidRPr="002F31C0" w:rsidRDefault="00611A4D" w:rsidP="009A763F">
            <w:pPr>
              <w:pStyle w:val="Paragraph"/>
              <w:numPr>
                <w:ilvl w:val="0"/>
                <w:numId w:val="0"/>
              </w:numPr>
              <w:jc w:val="left"/>
              <w:rPr>
                <w:sz w:val="22"/>
                <w:szCs w:val="22"/>
                <w:lang w:eastAsia="en-GB"/>
              </w:rPr>
            </w:pPr>
            <w:r w:rsidRPr="002F31C0">
              <w:rPr>
                <w:sz w:val="22"/>
                <w:szCs w:val="22"/>
                <w:lang w:eastAsia="en-GB"/>
              </w:rPr>
              <w:t>10% of the contract amount</w:t>
            </w:r>
          </w:p>
        </w:tc>
      </w:tr>
      <w:tr w:rsidR="00611A4D" w:rsidRPr="002F31C0" w14:paraId="42014296" w14:textId="77777777" w:rsidTr="009A763F">
        <w:tc>
          <w:tcPr>
            <w:tcW w:w="625" w:type="dxa"/>
          </w:tcPr>
          <w:p w14:paraId="65D42F80" w14:textId="77777777" w:rsidR="00611A4D" w:rsidRPr="002F31C0" w:rsidRDefault="00611A4D" w:rsidP="009A763F">
            <w:pPr>
              <w:pStyle w:val="Paragraph"/>
              <w:numPr>
                <w:ilvl w:val="0"/>
                <w:numId w:val="0"/>
              </w:numPr>
              <w:rPr>
                <w:sz w:val="22"/>
                <w:szCs w:val="22"/>
                <w:lang w:eastAsia="en-GB"/>
              </w:rPr>
            </w:pPr>
            <w:r w:rsidRPr="002F31C0">
              <w:rPr>
                <w:sz w:val="22"/>
                <w:szCs w:val="22"/>
                <w:lang w:eastAsia="en-GB"/>
              </w:rPr>
              <w:t>2</w:t>
            </w:r>
          </w:p>
        </w:tc>
        <w:tc>
          <w:tcPr>
            <w:tcW w:w="4050" w:type="dxa"/>
          </w:tcPr>
          <w:p w14:paraId="182F35CB" w14:textId="4B079E21" w:rsidR="00611A4D" w:rsidRPr="002F31C0" w:rsidRDefault="00611A4D" w:rsidP="004A77D9">
            <w:pPr>
              <w:pStyle w:val="Paragraph"/>
              <w:numPr>
                <w:ilvl w:val="0"/>
                <w:numId w:val="0"/>
              </w:numPr>
              <w:jc w:val="left"/>
              <w:rPr>
                <w:sz w:val="22"/>
                <w:szCs w:val="22"/>
                <w:lang w:eastAsia="en-GB"/>
              </w:rPr>
            </w:pPr>
            <w:r w:rsidRPr="002F31C0">
              <w:rPr>
                <w:sz w:val="22"/>
                <w:szCs w:val="22"/>
                <w:lang w:eastAsia="en-GB"/>
              </w:rPr>
              <w:t>Upon submission</w:t>
            </w:r>
            <w:r w:rsidR="004A77D9">
              <w:rPr>
                <w:sz w:val="22"/>
                <w:szCs w:val="22"/>
                <w:lang w:eastAsia="en-GB"/>
              </w:rPr>
              <w:t>,</w:t>
            </w:r>
            <w:r w:rsidRPr="002F31C0">
              <w:rPr>
                <w:sz w:val="22"/>
                <w:szCs w:val="22"/>
                <w:lang w:eastAsia="en-GB"/>
              </w:rPr>
              <w:t xml:space="preserve"> review</w:t>
            </w:r>
            <w:r w:rsidR="004A77D9">
              <w:rPr>
                <w:sz w:val="22"/>
                <w:szCs w:val="22"/>
                <w:lang w:eastAsia="en-GB"/>
              </w:rPr>
              <w:t xml:space="preserve"> and </w:t>
            </w:r>
            <w:r w:rsidR="008C0F2C">
              <w:rPr>
                <w:sz w:val="22"/>
                <w:szCs w:val="22"/>
                <w:lang w:eastAsia="en-GB"/>
              </w:rPr>
              <w:t>acceptance</w:t>
            </w:r>
            <w:r w:rsidRPr="002F31C0">
              <w:rPr>
                <w:sz w:val="22"/>
                <w:szCs w:val="22"/>
                <w:lang w:eastAsia="en-GB"/>
              </w:rPr>
              <w:t xml:space="preserve"> of the NSP Assessment</w:t>
            </w:r>
          </w:p>
        </w:tc>
        <w:tc>
          <w:tcPr>
            <w:tcW w:w="4675" w:type="dxa"/>
          </w:tcPr>
          <w:p w14:paraId="662F5CA0" w14:textId="77777777" w:rsidR="00611A4D" w:rsidRPr="002F31C0" w:rsidRDefault="00611A4D" w:rsidP="009A763F">
            <w:pPr>
              <w:pStyle w:val="Paragraph"/>
              <w:numPr>
                <w:ilvl w:val="0"/>
                <w:numId w:val="0"/>
              </w:numPr>
              <w:jc w:val="left"/>
              <w:rPr>
                <w:sz w:val="22"/>
                <w:szCs w:val="22"/>
                <w:lang w:eastAsia="en-GB"/>
              </w:rPr>
            </w:pPr>
            <w:r w:rsidRPr="002F31C0">
              <w:rPr>
                <w:sz w:val="22"/>
                <w:szCs w:val="22"/>
                <w:lang w:eastAsia="en-GB"/>
              </w:rPr>
              <w:t>25% of the contract amount</w:t>
            </w:r>
          </w:p>
        </w:tc>
      </w:tr>
      <w:tr w:rsidR="00611A4D" w:rsidRPr="002F31C0" w14:paraId="0E735A45" w14:textId="77777777" w:rsidTr="009A763F">
        <w:tc>
          <w:tcPr>
            <w:tcW w:w="625" w:type="dxa"/>
          </w:tcPr>
          <w:p w14:paraId="456453E0" w14:textId="77777777" w:rsidR="00611A4D" w:rsidRPr="002F31C0" w:rsidRDefault="00611A4D" w:rsidP="009A763F">
            <w:pPr>
              <w:pStyle w:val="Paragraph"/>
              <w:numPr>
                <w:ilvl w:val="0"/>
                <w:numId w:val="0"/>
              </w:numPr>
              <w:rPr>
                <w:sz w:val="22"/>
                <w:szCs w:val="22"/>
                <w:lang w:eastAsia="en-GB"/>
              </w:rPr>
            </w:pPr>
            <w:r w:rsidRPr="002F31C0">
              <w:rPr>
                <w:sz w:val="22"/>
                <w:szCs w:val="22"/>
                <w:lang w:eastAsia="en-GB"/>
              </w:rPr>
              <w:t>3</w:t>
            </w:r>
          </w:p>
        </w:tc>
        <w:tc>
          <w:tcPr>
            <w:tcW w:w="4050" w:type="dxa"/>
          </w:tcPr>
          <w:p w14:paraId="34F29AFB" w14:textId="016EAC49" w:rsidR="00611A4D" w:rsidRPr="002F31C0" w:rsidRDefault="00611A4D" w:rsidP="004A77D9">
            <w:pPr>
              <w:pStyle w:val="Paragraph"/>
              <w:numPr>
                <w:ilvl w:val="0"/>
                <w:numId w:val="0"/>
              </w:numPr>
              <w:jc w:val="left"/>
              <w:rPr>
                <w:sz w:val="22"/>
                <w:szCs w:val="22"/>
                <w:lang w:eastAsia="en-GB"/>
              </w:rPr>
            </w:pPr>
            <w:r w:rsidRPr="002F31C0">
              <w:rPr>
                <w:sz w:val="22"/>
                <w:szCs w:val="22"/>
                <w:lang w:eastAsia="en-GB"/>
              </w:rPr>
              <w:t>Upon submission</w:t>
            </w:r>
            <w:r w:rsidR="004A77D9">
              <w:rPr>
                <w:sz w:val="22"/>
                <w:szCs w:val="22"/>
                <w:lang w:eastAsia="en-GB"/>
              </w:rPr>
              <w:t>,</w:t>
            </w:r>
            <w:r w:rsidRPr="002F31C0">
              <w:rPr>
                <w:sz w:val="22"/>
                <w:szCs w:val="22"/>
                <w:lang w:eastAsia="en-GB"/>
              </w:rPr>
              <w:t xml:space="preserve"> review</w:t>
            </w:r>
            <w:r w:rsidR="004A77D9">
              <w:rPr>
                <w:sz w:val="22"/>
                <w:szCs w:val="22"/>
                <w:lang w:eastAsia="en-GB"/>
              </w:rPr>
              <w:t xml:space="preserve"> and </w:t>
            </w:r>
            <w:r w:rsidR="008C0F2C">
              <w:rPr>
                <w:sz w:val="22"/>
                <w:szCs w:val="22"/>
                <w:lang w:eastAsia="en-GB"/>
              </w:rPr>
              <w:t>acceptance</w:t>
            </w:r>
            <w:r w:rsidRPr="002F31C0">
              <w:rPr>
                <w:sz w:val="22"/>
                <w:szCs w:val="22"/>
                <w:lang w:eastAsia="en-GB"/>
              </w:rPr>
              <w:t xml:space="preserve"> of the Investment and Implementation Plan</w:t>
            </w:r>
          </w:p>
        </w:tc>
        <w:tc>
          <w:tcPr>
            <w:tcW w:w="4675" w:type="dxa"/>
          </w:tcPr>
          <w:p w14:paraId="5A306A85" w14:textId="77777777" w:rsidR="00611A4D" w:rsidRPr="002F31C0" w:rsidRDefault="00611A4D" w:rsidP="009A763F">
            <w:pPr>
              <w:pStyle w:val="Paragraph"/>
              <w:numPr>
                <w:ilvl w:val="0"/>
                <w:numId w:val="0"/>
              </w:numPr>
              <w:jc w:val="left"/>
              <w:rPr>
                <w:sz w:val="22"/>
                <w:szCs w:val="22"/>
                <w:lang w:eastAsia="en-GB"/>
              </w:rPr>
            </w:pPr>
            <w:r w:rsidRPr="002F31C0">
              <w:rPr>
                <w:sz w:val="22"/>
                <w:szCs w:val="22"/>
                <w:lang w:eastAsia="en-GB"/>
              </w:rPr>
              <w:t>25% of the contract amount</w:t>
            </w:r>
          </w:p>
        </w:tc>
      </w:tr>
      <w:tr w:rsidR="00611A4D" w:rsidRPr="002F31C0" w14:paraId="795ED1AF" w14:textId="77777777" w:rsidTr="009A763F">
        <w:tc>
          <w:tcPr>
            <w:tcW w:w="625" w:type="dxa"/>
          </w:tcPr>
          <w:p w14:paraId="7A5AB665" w14:textId="77777777" w:rsidR="00611A4D" w:rsidRPr="002F31C0" w:rsidRDefault="00611A4D" w:rsidP="009A763F">
            <w:pPr>
              <w:pStyle w:val="Paragraph"/>
              <w:numPr>
                <w:ilvl w:val="0"/>
                <w:numId w:val="0"/>
              </w:numPr>
              <w:rPr>
                <w:sz w:val="22"/>
                <w:szCs w:val="22"/>
                <w:lang w:eastAsia="en-GB"/>
              </w:rPr>
            </w:pPr>
            <w:r w:rsidRPr="002F31C0">
              <w:rPr>
                <w:sz w:val="22"/>
                <w:szCs w:val="22"/>
                <w:lang w:eastAsia="en-GB"/>
              </w:rPr>
              <w:t>4</w:t>
            </w:r>
          </w:p>
        </w:tc>
        <w:tc>
          <w:tcPr>
            <w:tcW w:w="4050" w:type="dxa"/>
          </w:tcPr>
          <w:p w14:paraId="05143CC7" w14:textId="1B416951" w:rsidR="00611A4D" w:rsidRPr="002F31C0" w:rsidRDefault="00611A4D" w:rsidP="004A77D9">
            <w:pPr>
              <w:pStyle w:val="Paragraph"/>
              <w:numPr>
                <w:ilvl w:val="0"/>
                <w:numId w:val="0"/>
              </w:numPr>
              <w:jc w:val="left"/>
              <w:rPr>
                <w:sz w:val="22"/>
                <w:szCs w:val="22"/>
                <w:lang w:eastAsia="en-GB"/>
              </w:rPr>
            </w:pPr>
            <w:r w:rsidRPr="002F31C0">
              <w:rPr>
                <w:sz w:val="22"/>
                <w:szCs w:val="22"/>
                <w:lang w:eastAsia="en-GB"/>
              </w:rPr>
              <w:t>Upon submission</w:t>
            </w:r>
            <w:r w:rsidR="004A77D9">
              <w:rPr>
                <w:sz w:val="22"/>
                <w:szCs w:val="22"/>
                <w:lang w:eastAsia="en-GB"/>
              </w:rPr>
              <w:t>,</w:t>
            </w:r>
            <w:r w:rsidRPr="002F31C0">
              <w:rPr>
                <w:sz w:val="22"/>
                <w:szCs w:val="22"/>
                <w:lang w:eastAsia="en-GB"/>
              </w:rPr>
              <w:t xml:space="preserve"> review</w:t>
            </w:r>
            <w:r w:rsidR="004A77D9">
              <w:rPr>
                <w:sz w:val="22"/>
                <w:szCs w:val="22"/>
                <w:lang w:eastAsia="en-GB"/>
              </w:rPr>
              <w:t xml:space="preserve"> and </w:t>
            </w:r>
            <w:r w:rsidR="008C0F2C">
              <w:rPr>
                <w:sz w:val="22"/>
                <w:szCs w:val="22"/>
                <w:lang w:eastAsia="en-GB"/>
              </w:rPr>
              <w:t>acceptance</w:t>
            </w:r>
            <w:r w:rsidRPr="002F31C0">
              <w:rPr>
                <w:sz w:val="22"/>
                <w:szCs w:val="22"/>
                <w:lang w:eastAsia="en-GB"/>
              </w:rPr>
              <w:t xml:space="preserve"> of the Final Local Development Plans</w:t>
            </w:r>
          </w:p>
        </w:tc>
        <w:tc>
          <w:tcPr>
            <w:tcW w:w="4675" w:type="dxa"/>
          </w:tcPr>
          <w:p w14:paraId="746C49F9" w14:textId="77777777" w:rsidR="00611A4D" w:rsidRPr="002F31C0" w:rsidRDefault="00611A4D" w:rsidP="009A763F">
            <w:pPr>
              <w:pStyle w:val="Paragraph"/>
              <w:numPr>
                <w:ilvl w:val="0"/>
                <w:numId w:val="0"/>
              </w:numPr>
              <w:jc w:val="left"/>
              <w:rPr>
                <w:sz w:val="22"/>
                <w:szCs w:val="22"/>
                <w:lang w:eastAsia="en-GB"/>
              </w:rPr>
            </w:pPr>
            <w:r w:rsidRPr="002F31C0">
              <w:rPr>
                <w:sz w:val="22"/>
                <w:szCs w:val="22"/>
                <w:lang w:eastAsia="en-GB"/>
              </w:rPr>
              <w:t>40% of the contract amount</w:t>
            </w:r>
          </w:p>
        </w:tc>
      </w:tr>
    </w:tbl>
    <w:p w14:paraId="459F2D12" w14:textId="77777777" w:rsidR="00611A4D" w:rsidRPr="002F31C0" w:rsidRDefault="00611A4D" w:rsidP="00611A4D">
      <w:pPr>
        <w:jc w:val="both"/>
        <w:rPr>
          <w:rFonts w:ascii="Times New Roman" w:hAnsi="Times New Roman" w:cs="Times New Roman"/>
        </w:rPr>
        <w:sectPr w:rsidR="00611A4D" w:rsidRPr="002F31C0" w:rsidSect="0022652F">
          <w:footerReference w:type="default" r:id="rId12"/>
          <w:pgSz w:w="12240" w:h="15840"/>
          <w:pgMar w:top="990" w:right="1440" w:bottom="1350" w:left="1440" w:header="720" w:footer="720" w:gutter="0"/>
          <w:cols w:space="720"/>
          <w:docGrid w:linePitch="360"/>
        </w:sectPr>
      </w:pPr>
    </w:p>
    <w:p w14:paraId="0690E72E" w14:textId="77777777" w:rsidR="00611A4D" w:rsidRPr="00F37A6E" w:rsidRDefault="00611A4D" w:rsidP="00611A4D">
      <w:pPr>
        <w:jc w:val="center"/>
        <w:rPr>
          <w:rFonts w:ascii="Times New Roman" w:hAnsi="Times New Roman" w:cs="Times New Roman"/>
          <w:b/>
        </w:rPr>
      </w:pPr>
      <w:r w:rsidRPr="00F37A6E">
        <w:rPr>
          <w:rFonts w:ascii="Times New Roman" w:hAnsi="Times New Roman" w:cs="Times New Roman"/>
          <w:b/>
        </w:rPr>
        <w:lastRenderedPageBreak/>
        <w:t>ANNEX 1:  MALDIVES URBAN DEVELOPMENT AND RESILIENCE PROJECT</w:t>
      </w:r>
    </w:p>
    <w:p w14:paraId="000188CF" w14:textId="77777777" w:rsidR="00611A4D" w:rsidRPr="00F37A6E" w:rsidRDefault="00611A4D" w:rsidP="00611A4D">
      <w:pPr>
        <w:jc w:val="center"/>
        <w:rPr>
          <w:rFonts w:ascii="Times New Roman" w:hAnsi="Times New Roman" w:cs="Times New Roman"/>
          <w:b/>
        </w:rPr>
      </w:pPr>
    </w:p>
    <w:p w14:paraId="55EA3069" w14:textId="1212CA62" w:rsidR="00611A4D" w:rsidRPr="00F37A6E" w:rsidRDefault="00611A4D" w:rsidP="00611A4D">
      <w:pPr>
        <w:pStyle w:val="ListParagraph"/>
        <w:numPr>
          <w:ilvl w:val="0"/>
          <w:numId w:val="17"/>
        </w:numPr>
        <w:rPr>
          <w:rFonts w:ascii="Times New Roman" w:hAnsi="Times New Roman" w:cs="Times New Roman"/>
        </w:rPr>
      </w:pPr>
      <w:r w:rsidRPr="00F37A6E">
        <w:rPr>
          <w:rFonts w:ascii="Times New Roman" w:hAnsi="Times New Roman" w:cs="Times New Roman"/>
        </w:rPr>
        <w:t xml:space="preserve">The Project Development Objective of the Maldives Urban Development and Resilience Project (MUDRP) is to </w:t>
      </w:r>
      <w:r w:rsidR="00E16442" w:rsidRPr="00E16442">
        <w:rPr>
          <w:rFonts w:ascii="Times New Roman" w:hAnsi="Times New Roman" w:cs="Times New Roman"/>
        </w:rPr>
        <w:t>enhance resilient urban planning and municipal service delivery in selected cities in Maldives and strengthen the Government’s capacity to provide effective response to disasters.</w:t>
      </w:r>
    </w:p>
    <w:p w14:paraId="1450035E" w14:textId="77777777" w:rsidR="00611A4D" w:rsidRPr="00F37A6E" w:rsidRDefault="00611A4D" w:rsidP="00611A4D">
      <w:pPr>
        <w:pStyle w:val="ListParagraph"/>
        <w:rPr>
          <w:rFonts w:ascii="Times New Roman" w:hAnsi="Times New Roman" w:cs="Times New Roman"/>
        </w:rPr>
      </w:pPr>
    </w:p>
    <w:p w14:paraId="5C9DD89B" w14:textId="77777777" w:rsidR="00611A4D" w:rsidRPr="00F37A6E" w:rsidRDefault="00611A4D" w:rsidP="00611A4D">
      <w:pPr>
        <w:pStyle w:val="ListParagraph"/>
        <w:numPr>
          <w:ilvl w:val="0"/>
          <w:numId w:val="17"/>
        </w:numPr>
        <w:rPr>
          <w:rFonts w:ascii="Times New Roman" w:hAnsi="Times New Roman" w:cs="Times New Roman"/>
        </w:rPr>
      </w:pPr>
      <w:r w:rsidRPr="00F37A6E">
        <w:rPr>
          <w:rFonts w:ascii="Times New Roman" w:hAnsi="Times New Roman" w:cs="Times New Roman"/>
        </w:rPr>
        <w:t>MUDRP comprises of 4 components:</w:t>
      </w:r>
    </w:p>
    <w:p w14:paraId="2E8B99A3" w14:textId="77777777" w:rsidR="00611A4D" w:rsidRPr="00F37A6E" w:rsidRDefault="00611A4D" w:rsidP="00611A4D">
      <w:pPr>
        <w:pStyle w:val="ListParagraph"/>
        <w:widowControl w:val="0"/>
        <w:autoSpaceDE w:val="0"/>
        <w:autoSpaceDN w:val="0"/>
        <w:adjustRightInd w:val="0"/>
        <w:spacing w:after="0" w:line="240" w:lineRule="auto"/>
        <w:jc w:val="both"/>
        <w:rPr>
          <w:rFonts w:ascii="Times New Roman" w:eastAsia="Times New Roman" w:hAnsi="Times New Roman" w:cs="Times New Roman"/>
          <w:bCs/>
        </w:rPr>
      </w:pPr>
    </w:p>
    <w:p w14:paraId="3C91C833" w14:textId="77777777" w:rsidR="00611A4D" w:rsidRPr="00F37A6E" w:rsidRDefault="00611A4D" w:rsidP="00E16442">
      <w:pPr>
        <w:pStyle w:val="ListParagraph"/>
        <w:widowControl w:val="0"/>
        <w:numPr>
          <w:ilvl w:val="0"/>
          <w:numId w:val="18"/>
        </w:numPr>
        <w:autoSpaceDE w:val="0"/>
        <w:autoSpaceDN w:val="0"/>
        <w:adjustRightInd w:val="0"/>
        <w:spacing w:after="0" w:line="240" w:lineRule="auto"/>
        <w:ind w:left="900" w:right="720" w:firstLine="0"/>
        <w:jc w:val="both"/>
        <w:rPr>
          <w:rFonts w:ascii="Times New Roman" w:eastAsia="Times New Roman" w:hAnsi="Times New Roman" w:cs="Times New Roman"/>
          <w:bCs/>
        </w:rPr>
      </w:pPr>
      <w:r w:rsidRPr="00F37A6E">
        <w:rPr>
          <w:rFonts w:ascii="Times New Roman" w:eastAsia="Times New Roman" w:hAnsi="Times New Roman" w:cs="Times New Roman"/>
          <w:b/>
          <w:bCs/>
        </w:rPr>
        <w:t xml:space="preserve">Component 1: Resilient Infrastructure and Emergency Preparedness </w:t>
      </w:r>
      <w:r w:rsidRPr="00F37A6E">
        <w:rPr>
          <w:rFonts w:ascii="Times New Roman" w:hAnsi="Times New Roman" w:cs="Times New Roman"/>
          <w:b/>
        </w:rPr>
        <w:t>(US$ 12.5 million).</w:t>
      </w:r>
      <w:r w:rsidRPr="00F37A6E">
        <w:rPr>
          <w:rFonts w:ascii="Times New Roman" w:hAnsi="Times New Roman" w:cs="Times New Roman"/>
        </w:rPr>
        <w:t xml:space="preserve">  </w:t>
      </w:r>
    </w:p>
    <w:p w14:paraId="3FBA1908" w14:textId="77777777" w:rsidR="00611A4D" w:rsidRPr="00E16442" w:rsidRDefault="00611A4D" w:rsidP="00611A4D">
      <w:pPr>
        <w:pStyle w:val="ListParagraph"/>
        <w:ind w:left="86" w:right="720"/>
        <w:jc w:val="both"/>
        <w:rPr>
          <w:rFonts w:ascii="Times New Roman" w:eastAsia="Times New Roman" w:hAnsi="Times New Roman" w:cs="Times New Roman"/>
          <w:bCs/>
        </w:rPr>
      </w:pPr>
    </w:p>
    <w:p w14:paraId="5F0BF2BE" w14:textId="77777777" w:rsidR="00E16442" w:rsidRPr="00E16442" w:rsidRDefault="00E16442" w:rsidP="00E16442">
      <w:pPr>
        <w:pStyle w:val="ListParagraph"/>
        <w:widowControl w:val="0"/>
        <w:numPr>
          <w:ilvl w:val="2"/>
          <w:numId w:val="20"/>
        </w:numPr>
        <w:autoSpaceDE w:val="0"/>
        <w:autoSpaceDN w:val="0"/>
        <w:adjustRightInd w:val="0"/>
        <w:spacing w:after="0" w:line="240" w:lineRule="auto"/>
        <w:ind w:left="1440" w:hanging="176"/>
        <w:jc w:val="both"/>
        <w:rPr>
          <w:rFonts w:ascii="Times New Roman" w:eastAsia="Times New Roman" w:hAnsi="Times New Roman" w:cs="Times New Roman"/>
          <w:i/>
          <w:iCs/>
        </w:rPr>
      </w:pPr>
      <w:r w:rsidRPr="00E16442">
        <w:rPr>
          <w:rFonts w:ascii="Times New Roman" w:eastAsia="Times New Roman" w:hAnsi="Times New Roman" w:cs="Times New Roman"/>
          <w:b/>
          <w:bCs/>
        </w:rPr>
        <w:t>Component 1.1 Resilient Infrastructure</w:t>
      </w:r>
      <w:r w:rsidRPr="00E16442">
        <w:rPr>
          <w:rFonts w:ascii="Times New Roman" w:eastAsia="Times New Roman" w:hAnsi="Times New Roman" w:cs="Times New Roman"/>
        </w:rPr>
        <w:t xml:space="preserve"> </w:t>
      </w:r>
      <w:r w:rsidRPr="00E16442">
        <w:rPr>
          <w:rFonts w:ascii="Times New Roman" w:hAnsi="Times New Roman" w:cs="Times New Roman"/>
          <w:b/>
          <w:bCs/>
        </w:rPr>
        <w:t>(US$ 11 million).</w:t>
      </w:r>
      <w:r w:rsidRPr="00E16442">
        <w:rPr>
          <w:rFonts w:ascii="Times New Roman" w:hAnsi="Times New Roman" w:cs="Times New Roman"/>
        </w:rPr>
        <w:t xml:space="preserve">  </w:t>
      </w:r>
    </w:p>
    <w:p w14:paraId="686C5B22" w14:textId="77777777" w:rsidR="00E16442" w:rsidRPr="00E16442" w:rsidRDefault="00E16442" w:rsidP="00E16442">
      <w:pPr>
        <w:pStyle w:val="ListParagraph"/>
        <w:ind w:left="1620"/>
        <w:jc w:val="both"/>
        <w:rPr>
          <w:rFonts w:ascii="Times New Roman" w:eastAsia="Times New Roman" w:hAnsi="Times New Roman" w:cs="Times New Roman"/>
          <w:bCs/>
          <w:i/>
        </w:rPr>
      </w:pPr>
    </w:p>
    <w:p w14:paraId="1FF107B6" w14:textId="77777777" w:rsidR="00E16442" w:rsidRPr="00E16442" w:rsidRDefault="00E16442" w:rsidP="00E16442">
      <w:pPr>
        <w:pStyle w:val="ListParagraph"/>
        <w:widowControl w:val="0"/>
        <w:numPr>
          <w:ilvl w:val="3"/>
          <w:numId w:val="18"/>
        </w:numPr>
        <w:autoSpaceDE w:val="0"/>
        <w:autoSpaceDN w:val="0"/>
        <w:adjustRightInd w:val="0"/>
        <w:spacing w:after="0" w:line="240" w:lineRule="auto"/>
        <w:ind w:left="1620"/>
        <w:jc w:val="both"/>
        <w:rPr>
          <w:rFonts w:ascii="Times New Roman" w:eastAsia="Times New Roman" w:hAnsi="Times New Roman" w:cs="Times New Roman"/>
        </w:rPr>
      </w:pPr>
      <w:bookmarkStart w:id="1" w:name="_Hlk24267220"/>
      <w:bookmarkStart w:id="2" w:name="_Hlk7796902"/>
      <w:r w:rsidRPr="00E16442">
        <w:rPr>
          <w:rFonts w:ascii="Times New Roman" w:hAnsi="Times New Roman" w:cs="Times New Roman"/>
          <w:b/>
          <w:bCs/>
        </w:rPr>
        <w:t xml:space="preserve">Sewage Treatment Plant (STP) in </w:t>
      </w:r>
      <w:proofErr w:type="spellStart"/>
      <w:r w:rsidRPr="00E16442">
        <w:rPr>
          <w:rFonts w:ascii="Times New Roman" w:hAnsi="Times New Roman" w:cs="Times New Roman"/>
          <w:b/>
          <w:bCs/>
        </w:rPr>
        <w:t>Hulhumalé</w:t>
      </w:r>
      <w:proofErr w:type="spellEnd"/>
      <w:r w:rsidRPr="00E16442">
        <w:rPr>
          <w:rFonts w:ascii="Times New Roman" w:hAnsi="Times New Roman" w:cs="Times New Roman"/>
          <w:b/>
          <w:bCs/>
        </w:rPr>
        <w:t xml:space="preserve"> Phase 1 (Feasibility Study and construction) and feasibility study of an STP in </w:t>
      </w:r>
      <w:proofErr w:type="spellStart"/>
      <w:r w:rsidRPr="00E16442">
        <w:rPr>
          <w:rFonts w:ascii="Times New Roman" w:hAnsi="Times New Roman" w:cs="Times New Roman"/>
          <w:b/>
          <w:bCs/>
        </w:rPr>
        <w:t>Malé</w:t>
      </w:r>
      <w:proofErr w:type="spellEnd"/>
      <w:r w:rsidRPr="00E16442">
        <w:rPr>
          <w:rFonts w:ascii="Times New Roman" w:hAnsi="Times New Roman" w:cs="Times New Roman"/>
          <w:b/>
          <w:bCs/>
        </w:rPr>
        <w:t xml:space="preserve"> and </w:t>
      </w:r>
      <w:proofErr w:type="spellStart"/>
      <w:r w:rsidRPr="00E16442">
        <w:rPr>
          <w:rFonts w:ascii="Times New Roman" w:hAnsi="Times New Roman" w:cs="Times New Roman"/>
          <w:b/>
          <w:bCs/>
        </w:rPr>
        <w:t>Hulhumalé</w:t>
      </w:r>
      <w:proofErr w:type="spellEnd"/>
      <w:r w:rsidRPr="00E16442">
        <w:rPr>
          <w:rFonts w:ascii="Times New Roman" w:hAnsi="Times New Roman" w:cs="Times New Roman"/>
          <w:b/>
          <w:bCs/>
        </w:rPr>
        <w:t xml:space="preserve"> Phase 2 (US$6 million). </w:t>
      </w:r>
      <w:r w:rsidRPr="00E16442">
        <w:rPr>
          <w:rFonts w:ascii="Times New Roman" w:hAnsi="Times New Roman" w:cs="Times New Roman"/>
        </w:rPr>
        <w:t xml:space="preserve">The lack of sewage treatment poses significant risks to fisheries and tourism, major contributors to Maldives economy, and squanders an opportunity to produce high-quality water that could be substituted for expensive desalinated water and used for non-potable applications, enhancing water security. The Project will finance feasibility studies, design and construction of an STP to cater to 80,000 residents of the </w:t>
      </w:r>
      <w:proofErr w:type="spellStart"/>
      <w:r w:rsidRPr="00E16442">
        <w:rPr>
          <w:rFonts w:ascii="Times New Roman" w:hAnsi="Times New Roman" w:cs="Times New Roman"/>
        </w:rPr>
        <w:t>Hulhumalé</w:t>
      </w:r>
      <w:proofErr w:type="spellEnd"/>
      <w:r w:rsidRPr="00E16442">
        <w:rPr>
          <w:rFonts w:ascii="Times New Roman" w:hAnsi="Times New Roman" w:cs="Times New Roman"/>
        </w:rPr>
        <w:t xml:space="preserve"> Phase 1 development. MUDRP will not finance any modules required to treat the sewage from Phase 2 development area as residents are yet to move in; however, should land for an STP be unavailable in the Phase 2 area, and if the current land allocation in Phase 1 is determined through the feasibility studies to be adequate for the planned population in </w:t>
      </w:r>
      <w:proofErr w:type="spellStart"/>
      <w:r w:rsidRPr="00E16442">
        <w:rPr>
          <w:rFonts w:ascii="Times New Roman" w:hAnsi="Times New Roman" w:cs="Times New Roman"/>
        </w:rPr>
        <w:t>Hulhumalé</w:t>
      </w:r>
      <w:proofErr w:type="spellEnd"/>
      <w:r w:rsidRPr="00E16442">
        <w:rPr>
          <w:rFonts w:ascii="Times New Roman" w:hAnsi="Times New Roman" w:cs="Times New Roman"/>
        </w:rPr>
        <w:t xml:space="preserve"> (Phases 1 and 2) by the time it is fully developed, HDC will be encouraged to design and finance the necessary infrastructure to convey the wastewater from Phase 2 development to the Phase 1 STP. In line with </w:t>
      </w:r>
      <w:proofErr w:type="spellStart"/>
      <w:r w:rsidRPr="00E16442">
        <w:rPr>
          <w:rFonts w:ascii="Times New Roman" w:hAnsi="Times New Roman" w:cs="Times New Roman"/>
        </w:rPr>
        <w:t>GoM’s</w:t>
      </w:r>
      <w:proofErr w:type="spellEnd"/>
      <w:r w:rsidRPr="00E16442">
        <w:rPr>
          <w:rFonts w:ascii="Times New Roman" w:hAnsi="Times New Roman" w:cs="Times New Roman"/>
        </w:rPr>
        <w:t xml:space="preserve"> vision of partnering with the private sector to provide sustainable urban infrastructure, a design-build-operate and transfer model is proposed to ensure a technologically-sound and cost-effective STP supported by the </w:t>
      </w:r>
      <w:proofErr w:type="spellStart"/>
      <w:r w:rsidRPr="00E16442">
        <w:rPr>
          <w:rFonts w:ascii="Times New Roman" w:hAnsi="Times New Roman" w:cs="Times New Roman"/>
        </w:rPr>
        <w:t>GoM’s</w:t>
      </w:r>
      <w:proofErr w:type="spellEnd"/>
      <w:r w:rsidRPr="00E16442">
        <w:rPr>
          <w:rFonts w:ascii="Times New Roman" w:hAnsi="Times New Roman" w:cs="Times New Roman"/>
        </w:rPr>
        <w:t xml:space="preserve"> plan to use tariffs to cover costs of operation.</w:t>
      </w:r>
      <w:bookmarkEnd w:id="1"/>
    </w:p>
    <w:p w14:paraId="7CC19B38" w14:textId="77777777" w:rsidR="00E16442" w:rsidRPr="00E16442" w:rsidRDefault="00E16442" w:rsidP="00E16442">
      <w:pPr>
        <w:pStyle w:val="ListParagraph"/>
        <w:ind w:left="1620"/>
        <w:jc w:val="both"/>
        <w:rPr>
          <w:rFonts w:ascii="Times New Roman" w:eastAsia="Times New Roman" w:hAnsi="Times New Roman" w:cs="Times New Roman"/>
          <w:bCs/>
        </w:rPr>
      </w:pPr>
      <w:r w:rsidRPr="00E16442">
        <w:rPr>
          <w:rFonts w:ascii="Times New Roman" w:eastAsia="Times New Roman" w:hAnsi="Times New Roman" w:cs="Times New Roman"/>
        </w:rPr>
        <w:t xml:space="preserve"> </w:t>
      </w:r>
    </w:p>
    <w:bookmarkEnd w:id="2"/>
    <w:p w14:paraId="2A6CA5D6" w14:textId="77777777" w:rsidR="00E16442" w:rsidRPr="00E16442" w:rsidRDefault="00E16442" w:rsidP="00E16442">
      <w:pPr>
        <w:pStyle w:val="ListParagraph"/>
        <w:widowControl w:val="0"/>
        <w:numPr>
          <w:ilvl w:val="3"/>
          <w:numId w:val="18"/>
        </w:numPr>
        <w:autoSpaceDE w:val="0"/>
        <w:autoSpaceDN w:val="0"/>
        <w:adjustRightInd w:val="0"/>
        <w:spacing w:after="0" w:line="240" w:lineRule="auto"/>
        <w:ind w:left="1620"/>
        <w:jc w:val="both"/>
        <w:rPr>
          <w:rFonts w:ascii="Times New Roman" w:eastAsia="Times New Roman" w:hAnsi="Times New Roman" w:cs="Times New Roman"/>
        </w:rPr>
      </w:pPr>
      <w:proofErr w:type="spellStart"/>
      <w:r w:rsidRPr="00E16442">
        <w:rPr>
          <w:rFonts w:ascii="Times New Roman" w:eastAsia="Times New Roman" w:hAnsi="Times New Roman" w:cs="Times New Roman"/>
          <w:b/>
          <w:bCs/>
        </w:rPr>
        <w:t>Stormwater</w:t>
      </w:r>
      <w:proofErr w:type="spellEnd"/>
      <w:r w:rsidRPr="00E16442">
        <w:rPr>
          <w:rFonts w:ascii="Times New Roman" w:eastAsia="Times New Roman" w:hAnsi="Times New Roman" w:cs="Times New Roman"/>
          <w:b/>
          <w:bCs/>
        </w:rPr>
        <w:t xml:space="preserve"> Drainage and Rainwater Harvesting and Storage Systems in </w:t>
      </w:r>
      <w:proofErr w:type="spellStart"/>
      <w:r w:rsidRPr="00E16442">
        <w:rPr>
          <w:rFonts w:ascii="Times New Roman" w:eastAsia="Times New Roman" w:hAnsi="Times New Roman" w:cs="Times New Roman"/>
          <w:b/>
          <w:bCs/>
        </w:rPr>
        <w:t>Malé</w:t>
      </w:r>
      <w:proofErr w:type="spellEnd"/>
      <w:r w:rsidRPr="00E16442">
        <w:rPr>
          <w:rFonts w:ascii="Times New Roman" w:eastAsia="Times New Roman" w:hAnsi="Times New Roman" w:cs="Times New Roman"/>
          <w:b/>
          <w:bCs/>
        </w:rPr>
        <w:t xml:space="preserve"> (US$5 million).</w:t>
      </w:r>
      <w:r w:rsidRPr="00E16442">
        <w:rPr>
          <w:rFonts w:ascii="Times New Roman" w:eastAsia="Times New Roman" w:hAnsi="Times New Roman" w:cs="Times New Roman"/>
          <w:i/>
          <w:iCs/>
        </w:rPr>
        <w:t xml:space="preserve"> </w:t>
      </w:r>
      <w:r w:rsidRPr="00E16442">
        <w:rPr>
          <w:rFonts w:ascii="Times New Roman" w:eastAsia="Times New Roman" w:hAnsi="Times New Roman" w:cs="Times New Roman"/>
        </w:rPr>
        <w:t xml:space="preserve">Poor </w:t>
      </w:r>
      <w:proofErr w:type="spellStart"/>
      <w:r w:rsidRPr="00E16442">
        <w:rPr>
          <w:rFonts w:ascii="Times New Roman" w:eastAsia="Times New Roman" w:hAnsi="Times New Roman" w:cs="Times New Roman"/>
        </w:rPr>
        <w:t>stormwater</w:t>
      </w:r>
      <w:proofErr w:type="spellEnd"/>
      <w:r w:rsidRPr="00E16442">
        <w:rPr>
          <w:rFonts w:ascii="Times New Roman" w:eastAsia="Times New Roman" w:hAnsi="Times New Roman" w:cs="Times New Roman"/>
        </w:rPr>
        <w:t xml:space="preserve"> drainage is contributing to regular flooding in </w:t>
      </w:r>
      <w:proofErr w:type="spellStart"/>
      <w:r w:rsidRPr="00E16442">
        <w:rPr>
          <w:rFonts w:ascii="Times New Roman" w:eastAsia="Times New Roman" w:hAnsi="Times New Roman" w:cs="Times New Roman"/>
        </w:rPr>
        <w:t>Malé</w:t>
      </w:r>
      <w:proofErr w:type="spellEnd"/>
      <w:r w:rsidRPr="00E16442">
        <w:rPr>
          <w:rFonts w:ascii="Times New Roman" w:eastAsia="Times New Roman" w:hAnsi="Times New Roman" w:cs="Times New Roman"/>
        </w:rPr>
        <w:t xml:space="preserve">, and both </w:t>
      </w:r>
      <w:proofErr w:type="spellStart"/>
      <w:r w:rsidRPr="00E16442">
        <w:rPr>
          <w:rFonts w:ascii="Times New Roman" w:eastAsia="Times New Roman" w:hAnsi="Times New Roman" w:cs="Times New Roman"/>
        </w:rPr>
        <w:t>Malé</w:t>
      </w:r>
      <w:proofErr w:type="spellEnd"/>
      <w:r w:rsidRPr="00E16442">
        <w:rPr>
          <w:rFonts w:ascii="Times New Roman" w:eastAsia="Times New Roman" w:hAnsi="Times New Roman" w:cs="Times New Roman"/>
        </w:rPr>
        <w:t xml:space="preserve"> and </w:t>
      </w:r>
      <w:proofErr w:type="spellStart"/>
      <w:r w:rsidRPr="00E16442">
        <w:rPr>
          <w:rFonts w:ascii="Times New Roman" w:eastAsia="Times New Roman" w:hAnsi="Times New Roman" w:cs="Times New Roman"/>
        </w:rPr>
        <w:t>Hulhumalé</w:t>
      </w:r>
      <w:proofErr w:type="spellEnd"/>
      <w:r w:rsidRPr="00E16442">
        <w:rPr>
          <w:rFonts w:ascii="Times New Roman" w:eastAsia="Times New Roman" w:hAnsi="Times New Roman" w:cs="Times New Roman"/>
        </w:rPr>
        <w:t xml:space="preserve"> have potential for rainwater harvesting and storage which can make water supply more sustainable. In </w:t>
      </w:r>
      <w:proofErr w:type="spellStart"/>
      <w:r w:rsidRPr="00E16442">
        <w:rPr>
          <w:rFonts w:ascii="Times New Roman" w:eastAsia="Times New Roman" w:hAnsi="Times New Roman" w:cs="Times New Roman"/>
        </w:rPr>
        <w:t>Malé</w:t>
      </w:r>
      <w:proofErr w:type="spellEnd"/>
      <w:r w:rsidRPr="00E16442">
        <w:rPr>
          <w:rFonts w:ascii="Times New Roman" w:eastAsia="Times New Roman" w:hAnsi="Times New Roman" w:cs="Times New Roman"/>
        </w:rPr>
        <w:t xml:space="preserve">, the Project will support a comprehensive </w:t>
      </w:r>
      <w:proofErr w:type="spellStart"/>
      <w:r w:rsidRPr="00E16442">
        <w:rPr>
          <w:rFonts w:ascii="Times New Roman" w:eastAsia="Times New Roman" w:hAnsi="Times New Roman" w:cs="Times New Roman"/>
        </w:rPr>
        <w:t>stormwater</w:t>
      </w:r>
      <w:proofErr w:type="spellEnd"/>
      <w:r w:rsidRPr="00E16442">
        <w:rPr>
          <w:rFonts w:ascii="Times New Roman" w:eastAsia="Times New Roman" w:hAnsi="Times New Roman" w:cs="Times New Roman"/>
        </w:rPr>
        <w:t xml:space="preserve"> and drainage </w:t>
      </w:r>
      <w:proofErr w:type="spellStart"/>
      <w:r w:rsidRPr="00E16442">
        <w:rPr>
          <w:rFonts w:ascii="Times New Roman" w:eastAsia="Times New Roman" w:hAnsi="Times New Roman" w:cs="Times New Roman"/>
        </w:rPr>
        <w:t>masterplan</w:t>
      </w:r>
      <w:proofErr w:type="spellEnd"/>
      <w:r w:rsidRPr="00E16442">
        <w:rPr>
          <w:rFonts w:ascii="Times New Roman" w:eastAsia="Times New Roman" w:hAnsi="Times New Roman" w:cs="Times New Roman"/>
        </w:rPr>
        <w:t xml:space="preserve"> studies and upgrading of primary drainage network in selected wards to be connected to underground storage tanks constructed under the project (1 or 2 based on the feasibility study). Captured rainwater will be stored in constructed underground storage facilities/reservoirs for use in feeding existing fire hydrants to support firefighting and reduce flooding and for irrigating landscapes and greening of the neighborhoods.</w:t>
      </w:r>
    </w:p>
    <w:p w14:paraId="2522CB33" w14:textId="77777777" w:rsidR="00E16442" w:rsidRPr="00E16442" w:rsidRDefault="00E16442" w:rsidP="00E16442">
      <w:pPr>
        <w:pStyle w:val="ListParagraph"/>
        <w:ind w:left="1260"/>
        <w:jc w:val="both"/>
        <w:rPr>
          <w:rFonts w:ascii="Times New Roman" w:eastAsia="Times New Roman" w:hAnsi="Times New Roman" w:cs="Times New Roman"/>
          <w:bCs/>
        </w:rPr>
      </w:pPr>
      <w:r w:rsidRPr="00E16442">
        <w:rPr>
          <w:rFonts w:ascii="Times New Roman" w:eastAsia="Times New Roman" w:hAnsi="Times New Roman" w:cs="Times New Roman"/>
        </w:rPr>
        <w:t xml:space="preserve"> </w:t>
      </w:r>
    </w:p>
    <w:p w14:paraId="42DA2FCE" w14:textId="77777777" w:rsidR="00E16442" w:rsidRPr="00E16442" w:rsidRDefault="00E16442" w:rsidP="00E16442">
      <w:pPr>
        <w:pStyle w:val="ListParagraph"/>
        <w:widowControl w:val="0"/>
        <w:numPr>
          <w:ilvl w:val="2"/>
          <w:numId w:val="20"/>
        </w:numPr>
        <w:autoSpaceDE w:val="0"/>
        <w:autoSpaceDN w:val="0"/>
        <w:adjustRightInd w:val="0"/>
        <w:spacing w:after="0" w:line="240" w:lineRule="auto"/>
        <w:ind w:left="1620" w:hanging="450"/>
        <w:jc w:val="both"/>
        <w:rPr>
          <w:rFonts w:ascii="Times New Roman" w:eastAsia="Times New Roman" w:hAnsi="Times New Roman" w:cs="Times New Roman"/>
        </w:rPr>
      </w:pPr>
      <w:r w:rsidRPr="00E16442">
        <w:rPr>
          <w:rFonts w:ascii="Times New Roman" w:eastAsia="Times New Roman" w:hAnsi="Times New Roman" w:cs="Times New Roman"/>
          <w:b/>
          <w:bCs/>
        </w:rPr>
        <w:t>Sub-Component 1.2:  Strengthening emergency response systems</w:t>
      </w:r>
      <w:r w:rsidRPr="00E16442">
        <w:rPr>
          <w:rFonts w:ascii="Times New Roman" w:eastAsia="Times New Roman" w:hAnsi="Times New Roman" w:cs="Times New Roman"/>
          <w:b/>
          <w:bCs/>
          <w:color w:val="FF0000"/>
        </w:rPr>
        <w:t xml:space="preserve"> </w:t>
      </w:r>
      <w:r w:rsidRPr="00E16442">
        <w:rPr>
          <w:rFonts w:ascii="Times New Roman" w:hAnsi="Times New Roman" w:cs="Times New Roman"/>
          <w:b/>
          <w:bCs/>
        </w:rPr>
        <w:t>(US$ 1.5 million).</w:t>
      </w:r>
      <w:r w:rsidRPr="00E16442">
        <w:rPr>
          <w:rFonts w:ascii="Times New Roman" w:hAnsi="Times New Roman" w:cs="Times New Roman"/>
        </w:rPr>
        <w:t xml:space="preserve">  </w:t>
      </w:r>
    </w:p>
    <w:p w14:paraId="4768C83A" w14:textId="77777777" w:rsidR="00E16442" w:rsidRPr="00E16442" w:rsidRDefault="00E16442" w:rsidP="00E16442">
      <w:pPr>
        <w:pStyle w:val="ListParagraph"/>
        <w:ind w:left="1620"/>
        <w:jc w:val="both"/>
        <w:rPr>
          <w:rFonts w:ascii="Times New Roman" w:eastAsia="Times New Roman" w:hAnsi="Times New Roman" w:cs="Times New Roman"/>
          <w:bCs/>
        </w:rPr>
      </w:pPr>
    </w:p>
    <w:p w14:paraId="19D64379" w14:textId="77777777" w:rsidR="00E16442" w:rsidRPr="00E16442" w:rsidRDefault="00E16442" w:rsidP="00E16442">
      <w:pPr>
        <w:pStyle w:val="ListParagraph"/>
        <w:widowControl w:val="0"/>
        <w:numPr>
          <w:ilvl w:val="0"/>
          <w:numId w:val="21"/>
        </w:numPr>
        <w:autoSpaceDE w:val="0"/>
        <w:autoSpaceDN w:val="0"/>
        <w:adjustRightInd w:val="0"/>
        <w:spacing w:after="0" w:line="240" w:lineRule="auto"/>
        <w:ind w:left="1620"/>
        <w:jc w:val="both"/>
        <w:rPr>
          <w:rFonts w:ascii="Times New Roman" w:eastAsia="Times New Roman" w:hAnsi="Times New Roman" w:cs="Times New Roman"/>
          <w:b/>
          <w:bCs/>
        </w:rPr>
      </w:pPr>
      <w:r w:rsidRPr="00E16442">
        <w:rPr>
          <w:rFonts w:ascii="Times New Roman" w:eastAsia="Times New Roman" w:hAnsi="Times New Roman" w:cs="Times New Roman"/>
          <w:b/>
          <w:bCs/>
        </w:rPr>
        <w:t xml:space="preserve">Establishment of Emergency Operation Coordination Center, </w:t>
      </w:r>
      <w:proofErr w:type="spellStart"/>
      <w:r w:rsidRPr="00E16442">
        <w:rPr>
          <w:rFonts w:ascii="Times New Roman" w:eastAsia="Times New Roman" w:hAnsi="Times New Roman" w:cs="Times New Roman"/>
          <w:b/>
          <w:bCs/>
        </w:rPr>
        <w:t>Malé</w:t>
      </w:r>
      <w:proofErr w:type="spellEnd"/>
      <w:r w:rsidRPr="00E16442">
        <w:rPr>
          <w:rFonts w:ascii="Times New Roman" w:eastAsia="Times New Roman" w:hAnsi="Times New Roman" w:cs="Times New Roman"/>
          <w:b/>
          <w:bCs/>
        </w:rPr>
        <w:t xml:space="preserve"> </w:t>
      </w:r>
      <w:r w:rsidRPr="00E16442">
        <w:rPr>
          <w:rFonts w:ascii="Times New Roman" w:hAnsi="Times New Roman" w:cs="Times New Roman"/>
          <w:b/>
          <w:bCs/>
        </w:rPr>
        <w:t>(US$1.0 million)</w:t>
      </w:r>
      <w:r w:rsidRPr="00E16442">
        <w:rPr>
          <w:rFonts w:ascii="Times New Roman" w:eastAsia="Times New Roman" w:hAnsi="Times New Roman" w:cs="Times New Roman"/>
          <w:b/>
          <w:bCs/>
        </w:rPr>
        <w:t xml:space="preserve">. </w:t>
      </w:r>
      <w:r w:rsidRPr="00E16442">
        <w:rPr>
          <w:rFonts w:ascii="Times New Roman" w:eastAsia="Times New Roman" w:hAnsi="Times New Roman" w:cs="Times New Roman"/>
        </w:rPr>
        <w:t xml:space="preserve">The Project will enhance </w:t>
      </w:r>
      <w:proofErr w:type="spellStart"/>
      <w:r w:rsidRPr="00E16442">
        <w:rPr>
          <w:rFonts w:ascii="Times New Roman" w:eastAsia="Times New Roman" w:hAnsi="Times New Roman" w:cs="Times New Roman"/>
        </w:rPr>
        <w:t>GoM’s</w:t>
      </w:r>
      <w:proofErr w:type="spellEnd"/>
      <w:r w:rsidRPr="00E16442">
        <w:rPr>
          <w:rFonts w:ascii="Times New Roman" w:eastAsia="Times New Roman" w:hAnsi="Times New Roman" w:cs="Times New Roman"/>
        </w:rPr>
        <w:t xml:space="preserve"> emergency preparedness and response capacity by supporting the operationalization of the National Emergency Operations Plan (NEOP) through the establishment of an Emergency Operations Coordination Center (EOCC) within the NDMA.  When activated, the Center will be used to perform the </w:t>
      </w:r>
      <w:r w:rsidRPr="00E16442">
        <w:rPr>
          <w:rFonts w:ascii="Times New Roman" w:eastAsia="Times New Roman" w:hAnsi="Times New Roman" w:cs="Times New Roman"/>
        </w:rPr>
        <w:lastRenderedPageBreak/>
        <w:t xml:space="preserve">following functions: information and communication management, including public information and media management; coordination with stakeholders; resource management; and liaison with external stakeholders. To efficiently coordinate disaster and emergency response, the EOCC will, </w:t>
      </w:r>
      <w:r w:rsidRPr="00E16442">
        <w:rPr>
          <w:rFonts w:ascii="Times New Roman" w:eastAsia="Times New Roman" w:hAnsi="Times New Roman" w:cs="Times New Roman"/>
          <w:i/>
          <w:iCs/>
        </w:rPr>
        <w:t>inter alia,</w:t>
      </w:r>
      <w:r w:rsidRPr="00E16442">
        <w:rPr>
          <w:rFonts w:ascii="Times New Roman" w:eastAsia="Times New Roman" w:hAnsi="Times New Roman" w:cs="Times New Roman"/>
        </w:rPr>
        <w:t xml:space="preserve"> consist of: a community incident reporting system; a GIS system with data and information essential for efficient emergency response coordination; a call center function; and a coordination system based on Standard Operating Procedures. The EOCC will also be provided with adequate capacity to ensure that risks around safety and access to services by women, children and groups and persons with special needs are addressed by adopting components from the UN Inter-Agency Standing Committee (IASC) guidelines for integrating gender-based violence actions in humanitarian settings and Sendai Framework. The Center will be connected to all the key agencies involved in emergency preparedness and response, including the Maldives National Defense Force (MNDF), Coast Guard, Fire and Rescue Service, Maldives Meteorological Service (MMS), and Health Emergency Operations Center (HEOC) at the Ministry of Health.</w:t>
      </w:r>
    </w:p>
    <w:p w14:paraId="4BE729BC" w14:textId="77777777" w:rsidR="00E16442" w:rsidRPr="00E16442" w:rsidRDefault="00E16442" w:rsidP="00E16442">
      <w:pPr>
        <w:pStyle w:val="ListParagraph"/>
        <w:ind w:left="1620" w:hanging="180"/>
        <w:jc w:val="both"/>
        <w:rPr>
          <w:rFonts w:ascii="Times New Roman" w:eastAsia="Times New Roman" w:hAnsi="Times New Roman" w:cs="Times New Roman"/>
          <w:bCs/>
        </w:rPr>
      </w:pPr>
    </w:p>
    <w:p w14:paraId="7E38F4A6" w14:textId="77777777" w:rsidR="00E16442" w:rsidRPr="00E16442" w:rsidRDefault="00E16442" w:rsidP="00E16442">
      <w:pPr>
        <w:pStyle w:val="ListParagraph"/>
        <w:widowControl w:val="0"/>
        <w:numPr>
          <w:ilvl w:val="0"/>
          <w:numId w:val="21"/>
        </w:numPr>
        <w:autoSpaceDE w:val="0"/>
        <w:autoSpaceDN w:val="0"/>
        <w:adjustRightInd w:val="0"/>
        <w:spacing w:after="0" w:line="240" w:lineRule="auto"/>
        <w:ind w:left="1620"/>
        <w:jc w:val="both"/>
        <w:rPr>
          <w:rFonts w:ascii="Times New Roman" w:eastAsia="Times New Roman" w:hAnsi="Times New Roman" w:cs="Times New Roman"/>
          <w:b/>
          <w:bCs/>
        </w:rPr>
      </w:pPr>
      <w:r w:rsidRPr="00E16442">
        <w:rPr>
          <w:rFonts w:ascii="Times New Roman" w:eastAsia="Times New Roman" w:hAnsi="Times New Roman" w:cs="Times New Roman"/>
          <w:b/>
          <w:bCs/>
        </w:rPr>
        <w:t xml:space="preserve">Strengthening of fire rescue system, </w:t>
      </w:r>
      <w:proofErr w:type="spellStart"/>
      <w:r w:rsidRPr="00E16442">
        <w:rPr>
          <w:rFonts w:ascii="Times New Roman" w:eastAsia="Times New Roman" w:hAnsi="Times New Roman" w:cs="Times New Roman"/>
          <w:b/>
          <w:bCs/>
        </w:rPr>
        <w:t>Malé</w:t>
      </w:r>
      <w:proofErr w:type="spellEnd"/>
      <w:r w:rsidRPr="00E16442">
        <w:rPr>
          <w:rFonts w:ascii="Times New Roman" w:eastAsia="Times New Roman" w:hAnsi="Times New Roman" w:cs="Times New Roman"/>
          <w:b/>
          <w:bCs/>
        </w:rPr>
        <w:t xml:space="preserve"> </w:t>
      </w:r>
      <w:r w:rsidRPr="00E16442">
        <w:rPr>
          <w:rFonts w:ascii="Times New Roman" w:hAnsi="Times New Roman" w:cs="Times New Roman"/>
          <w:b/>
          <w:bCs/>
        </w:rPr>
        <w:t>(US$ 0.5 million)</w:t>
      </w:r>
      <w:r w:rsidRPr="00E16442">
        <w:rPr>
          <w:rFonts w:ascii="Times New Roman" w:eastAsia="Times New Roman" w:hAnsi="Times New Roman" w:cs="Times New Roman"/>
          <w:b/>
          <w:bCs/>
        </w:rPr>
        <w:t xml:space="preserve">. </w:t>
      </w:r>
      <w:r w:rsidRPr="00E16442">
        <w:rPr>
          <w:rFonts w:ascii="Times New Roman" w:eastAsia="Times New Roman" w:hAnsi="Times New Roman" w:cs="Times New Roman"/>
        </w:rPr>
        <w:t>Until late 2018, Maldives Fire and Rescue Service lacked resources for fire and rescue operations, especially for firefighting in high-rise buildings beyond seven stories.</w:t>
      </w:r>
      <w:r w:rsidRPr="00E16442">
        <w:rPr>
          <w:rFonts w:ascii="Times New Roman" w:eastAsia="Times New Roman" w:hAnsi="Times New Roman" w:cs="Times New Roman"/>
          <w:b/>
          <w:bCs/>
        </w:rPr>
        <w:t xml:space="preserve"> </w:t>
      </w:r>
      <w:r w:rsidRPr="00E16442">
        <w:rPr>
          <w:rFonts w:ascii="Times New Roman" w:eastAsia="Times New Roman" w:hAnsi="Times New Roman" w:cs="Times New Roman"/>
        </w:rPr>
        <w:t xml:space="preserve">The Government of Japan recently provided significant resources to strengthen its capacity, including two platforms with vertical capability up to 20 stories, and the Project will not invest in fire trucks or rescue platforms. The Project will support important trainings for the fire and rescue personnel in urban search and rescue operations and provide specialized small equipment that will assist the fire rescue personnel to access narrow alleys within </w:t>
      </w:r>
      <w:proofErr w:type="spellStart"/>
      <w:r w:rsidRPr="00E16442">
        <w:rPr>
          <w:rFonts w:ascii="Times New Roman" w:eastAsia="Times New Roman" w:hAnsi="Times New Roman" w:cs="Times New Roman"/>
        </w:rPr>
        <w:t>Malé</w:t>
      </w:r>
      <w:proofErr w:type="spellEnd"/>
      <w:r w:rsidRPr="00E16442">
        <w:rPr>
          <w:rFonts w:ascii="Times New Roman" w:eastAsia="Times New Roman" w:hAnsi="Times New Roman" w:cs="Times New Roman"/>
        </w:rPr>
        <w:t xml:space="preserve">. </w:t>
      </w:r>
      <w:proofErr w:type="spellStart"/>
      <w:r w:rsidRPr="00E16442">
        <w:rPr>
          <w:rFonts w:ascii="Times New Roman" w:hAnsi="Times New Roman" w:cs="Times New Roman"/>
        </w:rPr>
        <w:t>Malé’s</w:t>
      </w:r>
      <w:proofErr w:type="spellEnd"/>
      <w:r w:rsidRPr="00E16442">
        <w:rPr>
          <w:rFonts w:ascii="Times New Roman" w:hAnsi="Times New Roman" w:cs="Times New Roman"/>
        </w:rPr>
        <w:t xml:space="preserve"> fire hydrant network currently relies on desalinated water, which is energy intensive and vulnerable to shocks. Connecting Component 1.1’s rainwater storage tanks and pumps to the fire hydrant network will reduce dependence on costly desalinated water, increase water availability and reduce energy consumption.</w:t>
      </w:r>
    </w:p>
    <w:p w14:paraId="6A0E7EF6" w14:textId="77777777" w:rsidR="00E16442" w:rsidRPr="00E16442" w:rsidRDefault="00E16442" w:rsidP="00E16442">
      <w:pPr>
        <w:pStyle w:val="ListParagraph"/>
        <w:ind w:left="86"/>
        <w:jc w:val="both"/>
        <w:rPr>
          <w:rFonts w:ascii="Times New Roman" w:eastAsia="Times New Roman" w:hAnsi="Times New Roman" w:cs="Times New Roman"/>
          <w:bCs/>
        </w:rPr>
      </w:pPr>
    </w:p>
    <w:p w14:paraId="49298A8B" w14:textId="77777777" w:rsidR="00E16442" w:rsidRPr="00E16442" w:rsidRDefault="00E16442" w:rsidP="00211257">
      <w:pPr>
        <w:pStyle w:val="ListParagraph"/>
        <w:widowControl w:val="0"/>
        <w:numPr>
          <w:ilvl w:val="0"/>
          <w:numId w:val="18"/>
        </w:numPr>
        <w:autoSpaceDE w:val="0"/>
        <w:autoSpaceDN w:val="0"/>
        <w:adjustRightInd w:val="0"/>
        <w:spacing w:after="0" w:line="240" w:lineRule="auto"/>
        <w:ind w:left="900" w:firstLine="0"/>
        <w:jc w:val="both"/>
        <w:rPr>
          <w:rFonts w:ascii="Times New Roman" w:eastAsia="Times New Roman" w:hAnsi="Times New Roman" w:cs="Times New Roman"/>
        </w:rPr>
      </w:pPr>
      <w:r w:rsidRPr="00E16442">
        <w:rPr>
          <w:rFonts w:ascii="Times New Roman" w:eastAsia="Times New Roman" w:hAnsi="Times New Roman" w:cs="Times New Roman"/>
          <w:b/>
          <w:bCs/>
        </w:rPr>
        <w:t xml:space="preserve">Component 2: Regional Sustainable Urban Planning, Development and Management </w:t>
      </w:r>
      <w:r w:rsidRPr="00E16442">
        <w:rPr>
          <w:rFonts w:ascii="Times New Roman" w:hAnsi="Times New Roman" w:cs="Times New Roman"/>
          <w:b/>
          <w:bCs/>
        </w:rPr>
        <w:t>(US$ 2.5 million).</w:t>
      </w:r>
      <w:r w:rsidRPr="00E16442">
        <w:rPr>
          <w:rFonts w:ascii="Times New Roman" w:hAnsi="Times New Roman" w:cs="Times New Roman"/>
        </w:rPr>
        <w:t xml:space="preserve">  </w:t>
      </w:r>
    </w:p>
    <w:p w14:paraId="59B4D4E8" w14:textId="77777777" w:rsidR="00E16442" w:rsidRPr="00E16442" w:rsidRDefault="00E16442" w:rsidP="00E16442">
      <w:pPr>
        <w:pStyle w:val="ListParagraph"/>
        <w:ind w:left="86"/>
        <w:jc w:val="both"/>
        <w:rPr>
          <w:rFonts w:ascii="Times New Roman" w:eastAsia="Times New Roman" w:hAnsi="Times New Roman" w:cs="Times New Roman"/>
          <w:bCs/>
        </w:rPr>
      </w:pPr>
    </w:p>
    <w:p w14:paraId="09589D07" w14:textId="77777777" w:rsidR="00E16442" w:rsidRPr="00E16442" w:rsidRDefault="00E16442" w:rsidP="00211257">
      <w:pPr>
        <w:pStyle w:val="ListParagraph"/>
        <w:widowControl w:val="0"/>
        <w:numPr>
          <w:ilvl w:val="2"/>
          <w:numId w:val="18"/>
        </w:numPr>
        <w:autoSpaceDE w:val="0"/>
        <w:autoSpaceDN w:val="0"/>
        <w:adjustRightInd w:val="0"/>
        <w:spacing w:after="0" w:line="240" w:lineRule="auto"/>
        <w:ind w:left="1620" w:hanging="360"/>
        <w:jc w:val="both"/>
        <w:rPr>
          <w:rFonts w:ascii="Times New Roman" w:eastAsia="Times New Roman" w:hAnsi="Times New Roman" w:cs="Times New Roman"/>
        </w:rPr>
      </w:pPr>
      <w:r w:rsidRPr="00E16442">
        <w:rPr>
          <w:rFonts w:ascii="Times New Roman" w:eastAsia="Times New Roman" w:hAnsi="Times New Roman" w:cs="Times New Roman"/>
          <w:b/>
          <w:bCs/>
        </w:rPr>
        <w:t xml:space="preserve">Sub-Component 2.1:  Analytical studies on sustainable urban infrastructure and services (US$ 2.2 million): </w:t>
      </w:r>
      <w:r w:rsidRPr="00E16442">
        <w:rPr>
          <w:rFonts w:ascii="Times New Roman" w:eastAsia="Times New Roman" w:hAnsi="Times New Roman" w:cs="Times New Roman"/>
        </w:rPr>
        <w:t xml:space="preserve">This technical assistance (TA) sub-component will finance analytical and feasibility studies requested by </w:t>
      </w:r>
      <w:proofErr w:type="spellStart"/>
      <w:r w:rsidRPr="00E16442">
        <w:rPr>
          <w:rFonts w:ascii="Times New Roman" w:eastAsia="Times New Roman" w:hAnsi="Times New Roman" w:cs="Times New Roman"/>
        </w:rPr>
        <w:t>GoM</w:t>
      </w:r>
      <w:proofErr w:type="spellEnd"/>
      <w:r w:rsidRPr="00E16442">
        <w:rPr>
          <w:rFonts w:ascii="Times New Roman" w:eastAsia="Times New Roman" w:hAnsi="Times New Roman" w:cs="Times New Roman"/>
        </w:rPr>
        <w:t xml:space="preserve"> regarding sustainable urban infrastructure and services, including regional development, affordable housing development, and building regulations.</w:t>
      </w:r>
    </w:p>
    <w:p w14:paraId="278CD9BB" w14:textId="77777777" w:rsidR="00E16442" w:rsidRPr="00E16442" w:rsidRDefault="00E16442" w:rsidP="00211257">
      <w:pPr>
        <w:pStyle w:val="ListParagraph"/>
        <w:ind w:left="1620"/>
        <w:jc w:val="both"/>
        <w:rPr>
          <w:rFonts w:ascii="Times New Roman" w:eastAsia="Times New Roman" w:hAnsi="Times New Roman" w:cs="Times New Roman"/>
          <w:bCs/>
        </w:rPr>
      </w:pPr>
    </w:p>
    <w:p w14:paraId="618999A6" w14:textId="77777777" w:rsidR="00E16442" w:rsidRPr="00E16442" w:rsidRDefault="00E16442" w:rsidP="00211257">
      <w:pPr>
        <w:pStyle w:val="ListParagraph"/>
        <w:widowControl w:val="0"/>
        <w:numPr>
          <w:ilvl w:val="2"/>
          <w:numId w:val="19"/>
        </w:numPr>
        <w:autoSpaceDE w:val="0"/>
        <w:autoSpaceDN w:val="0"/>
        <w:adjustRightInd w:val="0"/>
        <w:spacing w:after="0" w:line="240" w:lineRule="auto"/>
        <w:ind w:left="1620" w:hanging="270"/>
        <w:jc w:val="both"/>
        <w:rPr>
          <w:rFonts w:ascii="Times New Roman" w:hAnsi="Times New Roman" w:cs="Times New Roman"/>
        </w:rPr>
      </w:pPr>
      <w:r w:rsidRPr="00E16442">
        <w:rPr>
          <w:rFonts w:ascii="Times New Roman" w:eastAsia="Times New Roman" w:hAnsi="Times New Roman" w:cs="Times New Roman"/>
          <w:b/>
          <w:bCs/>
          <w:i/>
          <w:iCs/>
        </w:rPr>
        <w:t>Regional Development:</w:t>
      </w:r>
      <w:r w:rsidRPr="00E16442">
        <w:rPr>
          <w:rFonts w:ascii="Times New Roman" w:eastAsia="Times New Roman" w:hAnsi="Times New Roman" w:cs="Times New Roman"/>
          <w:i/>
          <w:iCs/>
        </w:rPr>
        <w:t xml:space="preserve"> </w:t>
      </w:r>
      <w:r w:rsidRPr="00E16442">
        <w:rPr>
          <w:rFonts w:ascii="Times New Roman" w:eastAsia="Times New Roman" w:hAnsi="Times New Roman" w:cs="Times New Roman"/>
        </w:rPr>
        <w:t>In</w:t>
      </w:r>
      <w:r w:rsidRPr="00E16442">
        <w:rPr>
          <w:rFonts w:ascii="Times New Roman" w:hAnsi="Times New Roman" w:cs="Times New Roman"/>
          <w:b/>
          <w:bCs/>
        </w:rPr>
        <w:t xml:space="preserve"> </w:t>
      </w:r>
      <w:r w:rsidRPr="00E16442">
        <w:rPr>
          <w:rFonts w:ascii="Times New Roman" w:hAnsi="Times New Roman" w:cs="Times New Roman"/>
        </w:rPr>
        <w:t xml:space="preserve">support of longer-term strategies including regionalization as a national planning priority, </w:t>
      </w:r>
      <w:r w:rsidRPr="00E16442">
        <w:rPr>
          <w:rFonts w:ascii="Times New Roman" w:eastAsia="Times New Roman" w:hAnsi="Times New Roman" w:cs="Times New Roman"/>
        </w:rPr>
        <w:t xml:space="preserve">the Project will support integrated urban development plans studies </w:t>
      </w:r>
      <w:r w:rsidRPr="00E16442">
        <w:rPr>
          <w:rFonts w:ascii="Times New Roman" w:hAnsi="Times New Roman" w:cs="Times New Roman"/>
        </w:rPr>
        <w:t xml:space="preserve">for three </w:t>
      </w:r>
      <w:proofErr w:type="spellStart"/>
      <w:r w:rsidRPr="00E16442">
        <w:rPr>
          <w:rFonts w:ascii="Times New Roman" w:hAnsi="Times New Roman" w:cs="Times New Roman"/>
        </w:rPr>
        <w:t>GoM</w:t>
      </w:r>
      <w:proofErr w:type="spellEnd"/>
      <w:r w:rsidRPr="00E16442">
        <w:rPr>
          <w:rFonts w:ascii="Times New Roman" w:hAnsi="Times New Roman" w:cs="Times New Roman"/>
        </w:rPr>
        <w:t xml:space="preserve">-identified Regional Hubs/Centers: </w:t>
      </w:r>
      <w:proofErr w:type="spellStart"/>
      <w:r w:rsidRPr="00E16442">
        <w:rPr>
          <w:rFonts w:ascii="Times New Roman" w:eastAsia="Times New Roman" w:hAnsi="Times New Roman" w:cs="Times New Roman"/>
        </w:rPr>
        <w:t>Addu</w:t>
      </w:r>
      <w:proofErr w:type="spellEnd"/>
      <w:r w:rsidRPr="00E16442">
        <w:rPr>
          <w:rFonts w:ascii="Times New Roman" w:eastAsia="Times New Roman" w:hAnsi="Times New Roman" w:cs="Times New Roman"/>
        </w:rPr>
        <w:t>,</w:t>
      </w:r>
      <w:r w:rsidRPr="00E16442">
        <w:rPr>
          <w:rFonts w:ascii="Times New Roman" w:hAnsi="Times New Roman" w:cs="Times New Roman"/>
        </w:rPr>
        <w:t xml:space="preserve"> </w:t>
      </w:r>
      <w:proofErr w:type="spellStart"/>
      <w:r w:rsidRPr="00E16442">
        <w:rPr>
          <w:rFonts w:ascii="Times New Roman" w:eastAsia="Times New Roman" w:hAnsi="Times New Roman" w:cs="Times New Roman"/>
        </w:rPr>
        <w:t>Thiladhunmathi</w:t>
      </w:r>
      <w:proofErr w:type="spellEnd"/>
      <w:r w:rsidRPr="00E16442">
        <w:rPr>
          <w:rFonts w:ascii="Times New Roman" w:eastAsia="Times New Roman" w:hAnsi="Times New Roman" w:cs="Times New Roman"/>
        </w:rPr>
        <w:t xml:space="preserve">, and </w:t>
      </w:r>
      <w:proofErr w:type="spellStart"/>
      <w:r w:rsidRPr="00E16442">
        <w:rPr>
          <w:rFonts w:ascii="Times New Roman" w:eastAsia="Times New Roman" w:hAnsi="Times New Roman" w:cs="Times New Roman"/>
        </w:rPr>
        <w:t>Faadhippolhu</w:t>
      </w:r>
      <w:proofErr w:type="spellEnd"/>
      <w:r w:rsidRPr="00E16442">
        <w:rPr>
          <w:rFonts w:ascii="Times New Roman" w:eastAsia="Times New Roman" w:hAnsi="Times New Roman" w:cs="Times New Roman"/>
        </w:rPr>
        <w:t xml:space="preserve"> Regions. The plans will</w:t>
      </w:r>
      <w:r w:rsidRPr="00E16442">
        <w:rPr>
          <w:rFonts w:ascii="Times New Roman" w:hAnsi="Times New Roman" w:cs="Times New Roman"/>
        </w:rPr>
        <w:t xml:space="preserve"> provide a</w:t>
      </w:r>
      <w:r w:rsidRPr="00E16442">
        <w:rPr>
          <w:rFonts w:ascii="Times New Roman" w:eastAsia="Times New Roman" w:hAnsi="Times New Roman" w:cs="Times New Roman"/>
        </w:rPr>
        <w:t xml:space="preserve"> comprehensive look at economic development, land use and transport planning, service delivery and social development within a larger lens of resilient regional development</w:t>
      </w:r>
      <w:r w:rsidRPr="00E16442">
        <w:rPr>
          <w:rFonts w:ascii="Times New Roman" w:hAnsi="Times New Roman" w:cs="Times New Roman"/>
        </w:rPr>
        <w:t>—with the aim of improving livability and resilience of these areas and identifying a model that works for the country and that would provide a blueprint for development of other regions</w:t>
      </w:r>
      <w:r w:rsidRPr="00E16442">
        <w:rPr>
          <w:rFonts w:ascii="Times New Roman" w:eastAsia="Times New Roman" w:hAnsi="Times New Roman" w:cs="Times New Roman"/>
        </w:rPr>
        <w:t xml:space="preserve">. </w:t>
      </w:r>
      <w:r w:rsidRPr="00E16442">
        <w:rPr>
          <w:rFonts w:ascii="Times New Roman" w:hAnsi="Times New Roman" w:cs="Times New Roman"/>
        </w:rPr>
        <w:t xml:space="preserve">From the results of the analytical work, the project plans to provide suggestions and recommendations to </w:t>
      </w:r>
      <w:proofErr w:type="spellStart"/>
      <w:r w:rsidRPr="00E16442">
        <w:rPr>
          <w:rFonts w:ascii="Times New Roman" w:hAnsi="Times New Roman" w:cs="Times New Roman"/>
        </w:rPr>
        <w:t>GoM</w:t>
      </w:r>
      <w:proofErr w:type="spellEnd"/>
      <w:r w:rsidRPr="00E16442">
        <w:rPr>
          <w:rFonts w:ascii="Times New Roman" w:hAnsi="Times New Roman" w:cs="Times New Roman"/>
        </w:rPr>
        <w:t xml:space="preserve"> on how best to structure institutional development and municipal service delivery in an integrated manner involving key stakeholders. </w:t>
      </w:r>
    </w:p>
    <w:p w14:paraId="76D8506A" w14:textId="77777777" w:rsidR="00E16442" w:rsidRPr="00E16442" w:rsidRDefault="00E16442" w:rsidP="00211257">
      <w:pPr>
        <w:pStyle w:val="ListParagraph"/>
        <w:ind w:left="1620"/>
        <w:jc w:val="both"/>
        <w:rPr>
          <w:rFonts w:ascii="Times New Roman" w:eastAsia="Times New Roman" w:hAnsi="Times New Roman" w:cs="Times New Roman"/>
          <w:bCs/>
          <w:i/>
        </w:rPr>
      </w:pPr>
    </w:p>
    <w:p w14:paraId="6391EDEA" w14:textId="77777777" w:rsidR="00E16442" w:rsidRPr="00E16442" w:rsidRDefault="00E16442" w:rsidP="00211257">
      <w:pPr>
        <w:pStyle w:val="ListParagraph"/>
        <w:widowControl w:val="0"/>
        <w:numPr>
          <w:ilvl w:val="2"/>
          <w:numId w:val="19"/>
        </w:numPr>
        <w:autoSpaceDE w:val="0"/>
        <w:autoSpaceDN w:val="0"/>
        <w:adjustRightInd w:val="0"/>
        <w:spacing w:after="0" w:line="240" w:lineRule="auto"/>
        <w:ind w:left="1620" w:hanging="360"/>
        <w:jc w:val="both"/>
        <w:rPr>
          <w:rFonts w:ascii="Times New Roman" w:eastAsia="Times New Roman" w:hAnsi="Times New Roman" w:cs="Times New Roman"/>
          <w:i/>
          <w:iCs/>
        </w:rPr>
      </w:pPr>
      <w:r w:rsidRPr="00E16442">
        <w:rPr>
          <w:rFonts w:ascii="Times New Roman" w:eastAsia="Times New Roman" w:hAnsi="Times New Roman" w:cs="Times New Roman"/>
          <w:b/>
          <w:bCs/>
          <w:i/>
          <w:iCs/>
        </w:rPr>
        <w:lastRenderedPageBreak/>
        <w:t>Affordable Housing Development</w:t>
      </w:r>
      <w:r w:rsidRPr="00E16442">
        <w:rPr>
          <w:rFonts w:ascii="Times New Roman" w:eastAsia="Times New Roman" w:hAnsi="Times New Roman" w:cs="Times New Roman"/>
          <w:i/>
          <w:iCs/>
        </w:rPr>
        <w:t>:</w:t>
      </w:r>
      <w:r w:rsidRPr="00E16442">
        <w:rPr>
          <w:rFonts w:ascii="Times New Roman" w:eastAsia="Times New Roman" w:hAnsi="Times New Roman" w:cs="Times New Roman"/>
        </w:rPr>
        <w:t xml:space="preserve"> Studies will focus on (</w:t>
      </w:r>
      <w:proofErr w:type="spellStart"/>
      <w:r w:rsidRPr="00E16442">
        <w:rPr>
          <w:rFonts w:ascii="Times New Roman" w:eastAsia="Times New Roman" w:hAnsi="Times New Roman" w:cs="Times New Roman"/>
        </w:rPr>
        <w:t>i</w:t>
      </w:r>
      <w:proofErr w:type="spellEnd"/>
      <w:r w:rsidRPr="00E16442">
        <w:rPr>
          <w:rFonts w:ascii="Times New Roman" w:eastAsia="Times New Roman" w:hAnsi="Times New Roman" w:cs="Times New Roman"/>
        </w:rPr>
        <w:t xml:space="preserve">) consumer affordable housing and rental study to inform the housing deficit gap by income and location; (ii) housing supply and demand-sides to identify constraints to the provisioning and financing of affordable housing; and (iii) assessment of the </w:t>
      </w:r>
      <w:proofErr w:type="spellStart"/>
      <w:r w:rsidRPr="00E16442">
        <w:rPr>
          <w:rFonts w:ascii="Times New Roman" w:eastAsia="Times New Roman" w:hAnsi="Times New Roman" w:cs="Times New Roman"/>
        </w:rPr>
        <w:t>GoM</w:t>
      </w:r>
      <w:proofErr w:type="spellEnd"/>
      <w:r w:rsidRPr="00E16442">
        <w:rPr>
          <w:rFonts w:ascii="Times New Roman" w:eastAsia="Times New Roman" w:hAnsi="Times New Roman" w:cs="Times New Roman"/>
        </w:rPr>
        <w:t xml:space="preserve"> social housing programs to strengthen targeting, design and implementation effectiveness. The outcomes of this TA would be a comprehensive roadmap on housing regulatory, policy and program reforms, evidence-based provisioning development plans, and institutional arrangement enhancement.  As the provisioning of affordable housing is strongly perceived as a government responsibility in Maldives, this study will support the </w:t>
      </w:r>
      <w:proofErr w:type="spellStart"/>
      <w:r w:rsidRPr="00E16442">
        <w:rPr>
          <w:rFonts w:ascii="Times New Roman" w:eastAsia="Times New Roman" w:hAnsi="Times New Roman" w:cs="Times New Roman"/>
        </w:rPr>
        <w:t>GoM</w:t>
      </w:r>
      <w:proofErr w:type="spellEnd"/>
      <w:r w:rsidRPr="00E16442">
        <w:rPr>
          <w:rFonts w:ascii="Times New Roman" w:eastAsia="Times New Roman" w:hAnsi="Times New Roman" w:cs="Times New Roman"/>
        </w:rPr>
        <w:t xml:space="preserve"> in developing sustainable housing provisioning plans and programs as a component of the government resilient urban services and in alignment with the NSP and Regional Development Plans. The project will coordinate with IFC to expand and encourage private sector participation in the housing sector.  </w:t>
      </w:r>
    </w:p>
    <w:p w14:paraId="70610A23" w14:textId="77777777" w:rsidR="00E16442" w:rsidRPr="00E16442" w:rsidRDefault="00E16442" w:rsidP="00211257">
      <w:pPr>
        <w:pStyle w:val="ListParagraph"/>
        <w:ind w:left="1620"/>
        <w:rPr>
          <w:rFonts w:ascii="Times New Roman" w:eastAsia="Times New Roman" w:hAnsi="Times New Roman" w:cs="Times New Roman"/>
          <w:b/>
          <w:bCs/>
          <w:i/>
          <w:iCs/>
        </w:rPr>
      </w:pPr>
    </w:p>
    <w:p w14:paraId="55CEE2A4" w14:textId="77777777" w:rsidR="00E16442" w:rsidRPr="00E16442" w:rsidRDefault="00E16442" w:rsidP="00211257">
      <w:pPr>
        <w:pStyle w:val="ListParagraph"/>
        <w:widowControl w:val="0"/>
        <w:numPr>
          <w:ilvl w:val="2"/>
          <w:numId w:val="19"/>
        </w:numPr>
        <w:autoSpaceDE w:val="0"/>
        <w:autoSpaceDN w:val="0"/>
        <w:adjustRightInd w:val="0"/>
        <w:spacing w:after="0" w:line="240" w:lineRule="auto"/>
        <w:ind w:left="1620" w:hanging="360"/>
        <w:jc w:val="both"/>
        <w:rPr>
          <w:rFonts w:ascii="Times New Roman" w:eastAsia="Times New Roman" w:hAnsi="Times New Roman" w:cs="Times New Roman"/>
          <w:i/>
          <w:iCs/>
        </w:rPr>
      </w:pPr>
      <w:r w:rsidRPr="00E16442">
        <w:rPr>
          <w:rFonts w:ascii="Times New Roman" w:eastAsia="Times New Roman" w:hAnsi="Times New Roman" w:cs="Times New Roman"/>
          <w:b/>
          <w:bCs/>
          <w:i/>
          <w:iCs/>
        </w:rPr>
        <w:t xml:space="preserve">Fire Risk Assessment in </w:t>
      </w:r>
      <w:proofErr w:type="spellStart"/>
      <w:r w:rsidRPr="00E16442">
        <w:rPr>
          <w:rFonts w:ascii="Times New Roman" w:eastAsia="Times New Roman" w:hAnsi="Times New Roman" w:cs="Times New Roman"/>
          <w:b/>
          <w:bCs/>
          <w:i/>
          <w:iCs/>
        </w:rPr>
        <w:t>Malé</w:t>
      </w:r>
      <w:proofErr w:type="spellEnd"/>
      <w:r w:rsidRPr="00E16442">
        <w:rPr>
          <w:rFonts w:ascii="Times New Roman" w:eastAsia="Times New Roman" w:hAnsi="Times New Roman" w:cs="Times New Roman"/>
          <w:b/>
          <w:bCs/>
          <w:i/>
          <w:iCs/>
        </w:rPr>
        <w:t xml:space="preserve">: </w:t>
      </w:r>
      <w:r w:rsidRPr="00E16442">
        <w:rPr>
          <w:rFonts w:ascii="Times New Roman" w:eastAsia="Times New Roman" w:hAnsi="Times New Roman" w:cs="Times New Roman"/>
          <w:bCs/>
        </w:rPr>
        <w:t xml:space="preserve">The fire risk in the built environment is a main concern for Maldives authorities and requires a strategic approach particularly in </w:t>
      </w:r>
      <w:proofErr w:type="spellStart"/>
      <w:r w:rsidRPr="00E16442">
        <w:rPr>
          <w:rFonts w:ascii="Times New Roman" w:eastAsia="Times New Roman" w:hAnsi="Times New Roman" w:cs="Times New Roman"/>
          <w:bCs/>
        </w:rPr>
        <w:t>Malé</w:t>
      </w:r>
      <w:proofErr w:type="spellEnd"/>
      <w:r w:rsidRPr="00E16442">
        <w:rPr>
          <w:rFonts w:ascii="Times New Roman" w:eastAsia="Times New Roman" w:hAnsi="Times New Roman" w:cs="Times New Roman"/>
          <w:bCs/>
        </w:rPr>
        <w:t xml:space="preserve"> where the physical density of the buildings, with no fire breaks or fire prevention measures, allows fire to spread quickly. The project will support studies to assess the fire risks of existing building stocks and develop a retrofitting strategy with clear action plans for short-, medium- and long-term implementation. The studies will lead to development of a congruent fire safety code to be included in the new Building Code.</w:t>
      </w:r>
    </w:p>
    <w:p w14:paraId="7CD98637" w14:textId="77777777" w:rsidR="00E16442" w:rsidRPr="00E16442" w:rsidRDefault="00E16442" w:rsidP="00211257">
      <w:pPr>
        <w:pStyle w:val="ListParagraph"/>
        <w:ind w:left="1620"/>
        <w:jc w:val="both"/>
        <w:rPr>
          <w:rFonts w:ascii="Times New Roman" w:hAnsi="Times New Roman" w:cs="Times New Roman"/>
          <w:bCs/>
          <w:color w:val="FF0000"/>
        </w:rPr>
      </w:pPr>
    </w:p>
    <w:p w14:paraId="3FFEE79D" w14:textId="77777777" w:rsidR="00E16442" w:rsidRPr="00E16442" w:rsidRDefault="00E16442" w:rsidP="00211257">
      <w:pPr>
        <w:pStyle w:val="ListParagraph"/>
        <w:widowControl w:val="0"/>
        <w:numPr>
          <w:ilvl w:val="2"/>
          <w:numId w:val="18"/>
        </w:numPr>
        <w:autoSpaceDE w:val="0"/>
        <w:autoSpaceDN w:val="0"/>
        <w:adjustRightInd w:val="0"/>
        <w:spacing w:after="0" w:line="240" w:lineRule="auto"/>
        <w:ind w:left="1620" w:hanging="360"/>
        <w:jc w:val="both"/>
        <w:rPr>
          <w:rFonts w:ascii="Times New Roman" w:eastAsia="Times New Roman" w:hAnsi="Times New Roman" w:cs="Times New Roman"/>
        </w:rPr>
      </w:pPr>
      <w:r w:rsidRPr="00E16442">
        <w:rPr>
          <w:rFonts w:ascii="Times New Roman" w:eastAsia="Times New Roman" w:hAnsi="Times New Roman" w:cs="Times New Roman"/>
          <w:b/>
          <w:bCs/>
        </w:rPr>
        <w:t xml:space="preserve">Sub-Component 2.2:  Strengthening enforcement mechanism of building code and regulations (US$ 0.3 million): </w:t>
      </w:r>
      <w:r w:rsidRPr="00E16442">
        <w:rPr>
          <w:rFonts w:ascii="Times New Roman" w:eastAsia="Times New Roman" w:hAnsi="Times New Roman" w:cs="Times New Roman"/>
        </w:rPr>
        <w:t xml:space="preserve">This sub-component will finance the development of a building permit procedure and development of an online building approval system, alongside a capacity enhancement program for officials in charge of building permit and code-compliance operations on the ground, to be tested mainly in </w:t>
      </w:r>
      <w:proofErr w:type="spellStart"/>
      <w:r w:rsidRPr="00E16442">
        <w:rPr>
          <w:rFonts w:ascii="Times New Roman" w:eastAsia="Times New Roman" w:hAnsi="Times New Roman" w:cs="Times New Roman"/>
        </w:rPr>
        <w:t>Hulhumalé</w:t>
      </w:r>
      <w:proofErr w:type="spellEnd"/>
      <w:r w:rsidRPr="00E16442">
        <w:rPr>
          <w:rFonts w:ascii="Times New Roman" w:eastAsia="Times New Roman" w:hAnsi="Times New Roman" w:cs="Times New Roman"/>
        </w:rPr>
        <w:t xml:space="preserve"> for possible adaptation for other local authorities in Maldives.</w:t>
      </w:r>
    </w:p>
    <w:p w14:paraId="310840C9" w14:textId="77777777" w:rsidR="00E16442" w:rsidRPr="00E16442" w:rsidRDefault="00E16442" w:rsidP="00E16442">
      <w:pPr>
        <w:pStyle w:val="ListParagraph"/>
        <w:ind w:left="1260"/>
        <w:jc w:val="both"/>
        <w:rPr>
          <w:rFonts w:ascii="Times New Roman" w:eastAsia="Times New Roman" w:hAnsi="Times New Roman" w:cs="Times New Roman"/>
          <w:bCs/>
          <w:i/>
        </w:rPr>
      </w:pPr>
    </w:p>
    <w:p w14:paraId="24AA3530" w14:textId="2651BCFF" w:rsidR="00E16442" w:rsidRPr="00E16442" w:rsidRDefault="00E16442" w:rsidP="00E16442">
      <w:pPr>
        <w:pStyle w:val="ListParagraph"/>
        <w:widowControl w:val="0"/>
        <w:numPr>
          <w:ilvl w:val="0"/>
          <w:numId w:val="18"/>
        </w:numPr>
        <w:tabs>
          <w:tab w:val="left" w:pos="720"/>
        </w:tabs>
        <w:autoSpaceDE w:val="0"/>
        <w:autoSpaceDN w:val="0"/>
        <w:adjustRightInd w:val="0"/>
        <w:spacing w:after="0" w:line="240" w:lineRule="auto"/>
        <w:ind w:left="0" w:firstLine="0"/>
        <w:jc w:val="both"/>
        <w:rPr>
          <w:rFonts w:ascii="Times New Roman" w:eastAsia="Times New Roman" w:hAnsi="Times New Roman" w:cs="Times New Roman"/>
        </w:rPr>
      </w:pPr>
      <w:r w:rsidRPr="00E16442">
        <w:rPr>
          <w:rFonts w:ascii="Times New Roman" w:eastAsia="Times New Roman" w:hAnsi="Times New Roman" w:cs="Times New Roman"/>
          <w:b/>
          <w:bCs/>
        </w:rPr>
        <w:t xml:space="preserve">Component 3:  Project implementation, management and reporting (US$ 1.5 million).   </w:t>
      </w:r>
      <w:r w:rsidRPr="00E16442">
        <w:rPr>
          <w:rFonts w:ascii="Times New Roman" w:eastAsia="Times New Roman" w:hAnsi="Times New Roman" w:cs="Times New Roman"/>
        </w:rPr>
        <w:t xml:space="preserve">The component will support project management and implementation by financing incremental operating costs, project implementation staff and consultants, monitoring and evaluation, and relevant trainings.  The Project will support a range of technical assistance and capacity building activities to build urban planning capacity and strengthen technical, financial and institutional sustainability of the participating agencies. It will also provide TA to </w:t>
      </w:r>
      <w:proofErr w:type="spellStart"/>
      <w:r w:rsidRPr="00E16442">
        <w:rPr>
          <w:rFonts w:ascii="Times New Roman" w:eastAsia="Times New Roman" w:hAnsi="Times New Roman" w:cs="Times New Roman"/>
        </w:rPr>
        <w:t>GoM</w:t>
      </w:r>
      <w:proofErr w:type="spellEnd"/>
      <w:r w:rsidRPr="00E16442">
        <w:rPr>
          <w:rFonts w:ascii="Times New Roman" w:eastAsia="Times New Roman" w:hAnsi="Times New Roman" w:cs="Times New Roman"/>
        </w:rPr>
        <w:t xml:space="preserve"> to improve their project management and operations and maintenance systems. </w:t>
      </w:r>
    </w:p>
    <w:p w14:paraId="30C747EF" w14:textId="77777777" w:rsidR="00E16442" w:rsidRPr="00E16442" w:rsidRDefault="00E16442" w:rsidP="00E16442">
      <w:pPr>
        <w:jc w:val="both"/>
        <w:rPr>
          <w:rFonts w:ascii="Times New Roman" w:eastAsia="Times New Roman" w:hAnsi="Times New Roman" w:cs="Times New Roman"/>
          <w:bCs/>
        </w:rPr>
      </w:pPr>
    </w:p>
    <w:p w14:paraId="681F58F7" w14:textId="77777777" w:rsidR="00E16442" w:rsidRPr="00E16442" w:rsidRDefault="00E16442" w:rsidP="00E16442">
      <w:pPr>
        <w:pStyle w:val="ListParagraph"/>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E16442">
        <w:rPr>
          <w:rFonts w:ascii="Times New Roman" w:eastAsia="Times New Roman" w:hAnsi="Times New Roman" w:cs="Times New Roman"/>
          <w:b/>
          <w:bCs/>
        </w:rPr>
        <w:t xml:space="preserve"> Component 4:  Contingent Emergency Response Component (CERC) </w:t>
      </w:r>
      <w:r w:rsidRPr="00E16442">
        <w:rPr>
          <w:rFonts w:ascii="Times New Roman" w:hAnsi="Times New Roman" w:cs="Times New Roman"/>
          <w:b/>
          <w:bCs/>
        </w:rPr>
        <w:t>(US$ 0 million).</w:t>
      </w:r>
      <w:r w:rsidRPr="00E16442">
        <w:rPr>
          <w:rFonts w:ascii="Times New Roman" w:hAnsi="Times New Roman" w:cs="Times New Roman"/>
        </w:rPr>
        <w:t xml:space="preserve"> This component will allow for reallocation of project funds from other components to provide immediate emergency recovery support following an eligible crisis or emergency. An Emergency Response Manual (ERM) will be developed with fiduciary, safeguards, monitoring and reporting, and any other necessary coordination and implementation arrangements as a condition for disbursement. </w:t>
      </w:r>
      <w:r w:rsidRPr="00E16442">
        <w:rPr>
          <w:rFonts w:ascii="Times New Roman" w:eastAsia="Times New Roman" w:hAnsi="Times New Roman" w:cs="Times New Roman"/>
        </w:rPr>
        <w:t xml:space="preserve">To trigger this component, the </w:t>
      </w:r>
      <w:proofErr w:type="spellStart"/>
      <w:r w:rsidRPr="00E16442">
        <w:rPr>
          <w:rFonts w:ascii="Times New Roman" w:eastAsia="Times New Roman" w:hAnsi="Times New Roman" w:cs="Times New Roman"/>
        </w:rPr>
        <w:t>GoM</w:t>
      </w:r>
      <w:proofErr w:type="spellEnd"/>
      <w:r w:rsidRPr="00E16442">
        <w:rPr>
          <w:rFonts w:ascii="Times New Roman" w:eastAsia="Times New Roman" w:hAnsi="Times New Roman" w:cs="Times New Roman"/>
        </w:rPr>
        <w:t xml:space="preserve"> would need to declare an emergency, a state of a disaster or provide a statement of facts justifying the request for emergency funding.</w:t>
      </w:r>
    </w:p>
    <w:p w14:paraId="7F844663" w14:textId="77777777" w:rsidR="00611A4D" w:rsidRPr="00E16442" w:rsidRDefault="00611A4D" w:rsidP="00611A4D">
      <w:pPr>
        <w:rPr>
          <w:rFonts w:ascii="Times New Roman" w:hAnsi="Times New Roman" w:cs="Times New Roman"/>
        </w:rPr>
      </w:pPr>
    </w:p>
    <w:p w14:paraId="108D3825" w14:textId="77777777" w:rsidR="00611A4D" w:rsidRDefault="00611A4D" w:rsidP="00611A4D">
      <w:pPr>
        <w:rPr>
          <w:rFonts w:ascii="Times New Roman" w:hAnsi="Times New Roman" w:cs="Times New Roman"/>
        </w:rPr>
        <w:sectPr w:rsidR="00611A4D">
          <w:pgSz w:w="12240" w:h="15840"/>
          <w:pgMar w:top="1440" w:right="1440" w:bottom="1440" w:left="1440" w:header="720" w:footer="720" w:gutter="0"/>
          <w:cols w:space="720"/>
          <w:docGrid w:linePitch="360"/>
        </w:sectPr>
      </w:pPr>
    </w:p>
    <w:p w14:paraId="14AF9C2A" w14:textId="65771CB7" w:rsidR="00611A4D" w:rsidRDefault="00611A4D" w:rsidP="00611A4D">
      <w:pPr>
        <w:jc w:val="center"/>
        <w:rPr>
          <w:rFonts w:ascii="Times New Roman" w:hAnsi="Times New Roman" w:cs="Times New Roman"/>
          <w:b/>
        </w:rPr>
      </w:pPr>
      <w:r>
        <w:rPr>
          <w:rFonts w:ascii="Times New Roman" w:hAnsi="Times New Roman" w:cs="Times New Roman"/>
          <w:b/>
        </w:rPr>
        <w:lastRenderedPageBreak/>
        <w:t>ANNEX 2:  GOVERNMENT OF MALDIVES REGIONAL DEVELOPMENT PLAN SERVICES FOR SELECTED REGIONAL URBAN CENTER</w:t>
      </w:r>
    </w:p>
    <w:tbl>
      <w:tblPr>
        <w:tblStyle w:val="TableGrid"/>
        <w:tblW w:w="0" w:type="auto"/>
        <w:tblLook w:val="04A0" w:firstRow="1" w:lastRow="0" w:firstColumn="1" w:lastColumn="0" w:noHBand="0" w:noVBand="1"/>
      </w:tblPr>
      <w:tblGrid>
        <w:gridCol w:w="2875"/>
        <w:gridCol w:w="4590"/>
        <w:gridCol w:w="1885"/>
      </w:tblGrid>
      <w:tr w:rsidR="00611A4D" w14:paraId="5441F562" w14:textId="77777777" w:rsidTr="009A763F">
        <w:tc>
          <w:tcPr>
            <w:tcW w:w="2875" w:type="dxa"/>
            <w:shd w:val="clear" w:color="auto" w:fill="D9D9D9" w:themeFill="background1" w:themeFillShade="D9"/>
          </w:tcPr>
          <w:p w14:paraId="3006BDFE" w14:textId="77777777" w:rsidR="00611A4D" w:rsidRPr="00D84F6F" w:rsidRDefault="00611A4D" w:rsidP="009A763F">
            <w:pPr>
              <w:rPr>
                <w:b/>
              </w:rPr>
            </w:pPr>
            <w:r w:rsidRPr="00D84F6F">
              <w:rPr>
                <w:b/>
              </w:rPr>
              <w:t>Sector</w:t>
            </w:r>
          </w:p>
        </w:tc>
        <w:tc>
          <w:tcPr>
            <w:tcW w:w="4590" w:type="dxa"/>
            <w:shd w:val="clear" w:color="auto" w:fill="D9D9D9" w:themeFill="background1" w:themeFillShade="D9"/>
          </w:tcPr>
          <w:p w14:paraId="0DB37EBC" w14:textId="77777777" w:rsidR="00611A4D" w:rsidRPr="00D84F6F" w:rsidRDefault="00611A4D" w:rsidP="009A763F">
            <w:pPr>
              <w:rPr>
                <w:b/>
              </w:rPr>
            </w:pPr>
            <w:r w:rsidRPr="00D84F6F">
              <w:rPr>
                <w:b/>
              </w:rPr>
              <w:t>Service</w:t>
            </w:r>
          </w:p>
        </w:tc>
        <w:tc>
          <w:tcPr>
            <w:tcW w:w="1885" w:type="dxa"/>
            <w:shd w:val="clear" w:color="auto" w:fill="D9D9D9" w:themeFill="background1" w:themeFillShade="D9"/>
          </w:tcPr>
          <w:p w14:paraId="3A11B462" w14:textId="77777777" w:rsidR="00611A4D" w:rsidRPr="00D84F6F" w:rsidRDefault="00611A4D" w:rsidP="009A763F">
            <w:pPr>
              <w:rPr>
                <w:b/>
              </w:rPr>
            </w:pPr>
            <w:proofErr w:type="spellStart"/>
            <w:r>
              <w:rPr>
                <w:b/>
              </w:rPr>
              <w:t>Addu</w:t>
            </w:r>
            <w:proofErr w:type="spellEnd"/>
            <w:r>
              <w:rPr>
                <w:b/>
              </w:rPr>
              <w:t xml:space="preserve"> - </w:t>
            </w:r>
            <w:r w:rsidRPr="00D84F6F">
              <w:rPr>
                <w:b/>
              </w:rPr>
              <w:t>Proposed Island</w:t>
            </w:r>
          </w:p>
        </w:tc>
      </w:tr>
      <w:tr w:rsidR="00611A4D" w14:paraId="2DE8D791" w14:textId="77777777" w:rsidTr="009A763F">
        <w:tc>
          <w:tcPr>
            <w:tcW w:w="2875" w:type="dxa"/>
            <w:vMerge w:val="restart"/>
            <w:vAlign w:val="center"/>
          </w:tcPr>
          <w:p w14:paraId="016F8C05" w14:textId="77777777" w:rsidR="00611A4D" w:rsidRDefault="00611A4D" w:rsidP="009A763F">
            <w:r>
              <w:t>Transport</w:t>
            </w:r>
          </w:p>
        </w:tc>
        <w:tc>
          <w:tcPr>
            <w:tcW w:w="4590" w:type="dxa"/>
          </w:tcPr>
          <w:p w14:paraId="2F5B4002" w14:textId="77777777" w:rsidR="00611A4D" w:rsidRDefault="00611A4D" w:rsidP="009A763F">
            <w:r>
              <w:t>International Airport</w:t>
            </w:r>
          </w:p>
        </w:tc>
        <w:tc>
          <w:tcPr>
            <w:tcW w:w="1885" w:type="dxa"/>
          </w:tcPr>
          <w:p w14:paraId="5AB35C4D" w14:textId="77777777" w:rsidR="00611A4D" w:rsidRDefault="00611A4D" w:rsidP="009A763F">
            <w:proofErr w:type="spellStart"/>
            <w:r>
              <w:t>Gan</w:t>
            </w:r>
            <w:proofErr w:type="spellEnd"/>
          </w:p>
        </w:tc>
      </w:tr>
      <w:tr w:rsidR="00611A4D" w14:paraId="18AFE275" w14:textId="77777777" w:rsidTr="009A763F">
        <w:tc>
          <w:tcPr>
            <w:tcW w:w="2875" w:type="dxa"/>
            <w:vMerge/>
          </w:tcPr>
          <w:p w14:paraId="58A2B2E3" w14:textId="77777777" w:rsidR="00611A4D" w:rsidRDefault="00611A4D" w:rsidP="009A763F"/>
        </w:tc>
        <w:tc>
          <w:tcPr>
            <w:tcW w:w="4590" w:type="dxa"/>
          </w:tcPr>
          <w:p w14:paraId="74B586CD" w14:textId="77777777" w:rsidR="00611A4D" w:rsidRDefault="00611A4D" w:rsidP="009A763F">
            <w:r>
              <w:t>Central Ferry Terminal</w:t>
            </w:r>
          </w:p>
        </w:tc>
        <w:tc>
          <w:tcPr>
            <w:tcW w:w="1885" w:type="dxa"/>
          </w:tcPr>
          <w:p w14:paraId="73016C97" w14:textId="77777777" w:rsidR="00611A4D" w:rsidRDefault="00611A4D" w:rsidP="009A763F">
            <w:proofErr w:type="spellStart"/>
            <w:r>
              <w:t>Feydhoo</w:t>
            </w:r>
            <w:proofErr w:type="spellEnd"/>
          </w:p>
        </w:tc>
      </w:tr>
      <w:tr w:rsidR="00611A4D" w14:paraId="7BC1B3B6" w14:textId="77777777" w:rsidTr="009A763F">
        <w:tc>
          <w:tcPr>
            <w:tcW w:w="2875" w:type="dxa"/>
            <w:vMerge/>
          </w:tcPr>
          <w:p w14:paraId="2E8F50E3" w14:textId="77777777" w:rsidR="00611A4D" w:rsidRDefault="00611A4D" w:rsidP="009A763F"/>
        </w:tc>
        <w:tc>
          <w:tcPr>
            <w:tcW w:w="4590" w:type="dxa"/>
            <w:vMerge w:val="restart"/>
            <w:vAlign w:val="center"/>
          </w:tcPr>
          <w:p w14:paraId="4B1ED8A6" w14:textId="77777777" w:rsidR="00611A4D" w:rsidRDefault="00611A4D" w:rsidP="009A763F">
            <w:r>
              <w:t>In-land Public Transport</w:t>
            </w:r>
          </w:p>
        </w:tc>
        <w:tc>
          <w:tcPr>
            <w:tcW w:w="1885" w:type="dxa"/>
          </w:tcPr>
          <w:p w14:paraId="796A3D61" w14:textId="77777777" w:rsidR="00611A4D" w:rsidRDefault="00611A4D" w:rsidP="009A763F">
            <w:proofErr w:type="spellStart"/>
            <w:r>
              <w:t>Hithadhoo</w:t>
            </w:r>
            <w:proofErr w:type="spellEnd"/>
          </w:p>
        </w:tc>
      </w:tr>
      <w:tr w:rsidR="00611A4D" w14:paraId="15D72B1E" w14:textId="77777777" w:rsidTr="009A763F">
        <w:tc>
          <w:tcPr>
            <w:tcW w:w="2875" w:type="dxa"/>
            <w:vMerge/>
          </w:tcPr>
          <w:p w14:paraId="51184886" w14:textId="77777777" w:rsidR="00611A4D" w:rsidRDefault="00611A4D" w:rsidP="009A763F"/>
        </w:tc>
        <w:tc>
          <w:tcPr>
            <w:tcW w:w="4590" w:type="dxa"/>
            <w:vMerge/>
          </w:tcPr>
          <w:p w14:paraId="2BA31CD0" w14:textId="77777777" w:rsidR="00611A4D" w:rsidRDefault="00611A4D" w:rsidP="009A763F"/>
        </w:tc>
        <w:tc>
          <w:tcPr>
            <w:tcW w:w="1885" w:type="dxa"/>
          </w:tcPr>
          <w:p w14:paraId="2B953320" w14:textId="77777777" w:rsidR="00611A4D" w:rsidRDefault="00611A4D" w:rsidP="009A763F">
            <w:proofErr w:type="spellStart"/>
            <w:r>
              <w:t>Maradhoo</w:t>
            </w:r>
            <w:proofErr w:type="spellEnd"/>
          </w:p>
        </w:tc>
      </w:tr>
      <w:tr w:rsidR="00611A4D" w14:paraId="02F73815" w14:textId="77777777" w:rsidTr="009A763F">
        <w:tc>
          <w:tcPr>
            <w:tcW w:w="2875" w:type="dxa"/>
            <w:vMerge/>
          </w:tcPr>
          <w:p w14:paraId="7A9DE53A" w14:textId="77777777" w:rsidR="00611A4D" w:rsidRDefault="00611A4D" w:rsidP="009A763F"/>
        </w:tc>
        <w:tc>
          <w:tcPr>
            <w:tcW w:w="4590" w:type="dxa"/>
            <w:vMerge/>
          </w:tcPr>
          <w:p w14:paraId="166FDF47" w14:textId="77777777" w:rsidR="00611A4D" w:rsidRDefault="00611A4D" w:rsidP="009A763F"/>
        </w:tc>
        <w:tc>
          <w:tcPr>
            <w:tcW w:w="1885" w:type="dxa"/>
          </w:tcPr>
          <w:p w14:paraId="5CD56E59" w14:textId="77777777" w:rsidR="00611A4D" w:rsidRDefault="00611A4D" w:rsidP="009A763F">
            <w:proofErr w:type="spellStart"/>
            <w:r>
              <w:t>Maradhoo</w:t>
            </w:r>
            <w:proofErr w:type="spellEnd"/>
            <w:r>
              <w:t xml:space="preserve"> </w:t>
            </w:r>
            <w:proofErr w:type="spellStart"/>
            <w:r>
              <w:t>Feydhoo</w:t>
            </w:r>
            <w:proofErr w:type="spellEnd"/>
          </w:p>
        </w:tc>
      </w:tr>
      <w:tr w:rsidR="00611A4D" w14:paraId="2B91B642" w14:textId="77777777" w:rsidTr="009A763F">
        <w:tc>
          <w:tcPr>
            <w:tcW w:w="2875" w:type="dxa"/>
            <w:vMerge/>
          </w:tcPr>
          <w:p w14:paraId="612F38BF" w14:textId="77777777" w:rsidR="00611A4D" w:rsidRDefault="00611A4D" w:rsidP="009A763F"/>
        </w:tc>
        <w:tc>
          <w:tcPr>
            <w:tcW w:w="4590" w:type="dxa"/>
            <w:vMerge/>
          </w:tcPr>
          <w:p w14:paraId="6BA0DD4A" w14:textId="77777777" w:rsidR="00611A4D" w:rsidRDefault="00611A4D" w:rsidP="009A763F"/>
        </w:tc>
        <w:tc>
          <w:tcPr>
            <w:tcW w:w="1885" w:type="dxa"/>
          </w:tcPr>
          <w:p w14:paraId="155651ED" w14:textId="77777777" w:rsidR="00611A4D" w:rsidRDefault="00611A4D" w:rsidP="009A763F">
            <w:proofErr w:type="spellStart"/>
            <w:r>
              <w:t>Hulhudhoo</w:t>
            </w:r>
            <w:proofErr w:type="spellEnd"/>
          </w:p>
        </w:tc>
      </w:tr>
      <w:tr w:rsidR="00611A4D" w14:paraId="0B995ACC" w14:textId="77777777" w:rsidTr="009A763F">
        <w:tc>
          <w:tcPr>
            <w:tcW w:w="2875" w:type="dxa"/>
            <w:vMerge/>
          </w:tcPr>
          <w:p w14:paraId="1009CE8E" w14:textId="77777777" w:rsidR="00611A4D" w:rsidRDefault="00611A4D" w:rsidP="009A763F"/>
        </w:tc>
        <w:tc>
          <w:tcPr>
            <w:tcW w:w="4590" w:type="dxa"/>
            <w:vMerge/>
          </w:tcPr>
          <w:p w14:paraId="6345E97D" w14:textId="77777777" w:rsidR="00611A4D" w:rsidRDefault="00611A4D" w:rsidP="009A763F"/>
        </w:tc>
        <w:tc>
          <w:tcPr>
            <w:tcW w:w="1885" w:type="dxa"/>
          </w:tcPr>
          <w:p w14:paraId="0C1B3A54" w14:textId="77777777" w:rsidR="00611A4D" w:rsidRDefault="00611A4D" w:rsidP="009A763F">
            <w:proofErr w:type="spellStart"/>
            <w:r>
              <w:t>Meedhoo</w:t>
            </w:r>
            <w:proofErr w:type="spellEnd"/>
          </w:p>
        </w:tc>
      </w:tr>
      <w:tr w:rsidR="00611A4D" w14:paraId="313E252A" w14:textId="77777777" w:rsidTr="009A763F">
        <w:tc>
          <w:tcPr>
            <w:tcW w:w="2875" w:type="dxa"/>
            <w:vMerge/>
          </w:tcPr>
          <w:p w14:paraId="153CF304" w14:textId="77777777" w:rsidR="00611A4D" w:rsidRDefault="00611A4D" w:rsidP="009A763F"/>
        </w:tc>
        <w:tc>
          <w:tcPr>
            <w:tcW w:w="4590" w:type="dxa"/>
            <w:vMerge/>
          </w:tcPr>
          <w:p w14:paraId="5E43AF0D" w14:textId="77777777" w:rsidR="00611A4D" w:rsidRDefault="00611A4D" w:rsidP="009A763F"/>
        </w:tc>
        <w:tc>
          <w:tcPr>
            <w:tcW w:w="1885" w:type="dxa"/>
          </w:tcPr>
          <w:p w14:paraId="659F7451" w14:textId="77777777" w:rsidR="00611A4D" w:rsidRDefault="00611A4D" w:rsidP="009A763F">
            <w:proofErr w:type="spellStart"/>
            <w:r>
              <w:t>Gan</w:t>
            </w:r>
            <w:proofErr w:type="spellEnd"/>
          </w:p>
        </w:tc>
      </w:tr>
      <w:tr w:rsidR="00611A4D" w14:paraId="569B9266" w14:textId="77777777" w:rsidTr="009A763F">
        <w:tc>
          <w:tcPr>
            <w:tcW w:w="2875" w:type="dxa"/>
            <w:vMerge/>
          </w:tcPr>
          <w:p w14:paraId="382478A7" w14:textId="77777777" w:rsidR="00611A4D" w:rsidRDefault="00611A4D" w:rsidP="009A763F"/>
        </w:tc>
        <w:tc>
          <w:tcPr>
            <w:tcW w:w="4590" w:type="dxa"/>
          </w:tcPr>
          <w:p w14:paraId="6A356194" w14:textId="77777777" w:rsidR="00611A4D" w:rsidRDefault="00611A4D" w:rsidP="009A763F">
            <w:r>
              <w:t>Regional Commercial Domestic Port</w:t>
            </w:r>
          </w:p>
        </w:tc>
        <w:tc>
          <w:tcPr>
            <w:tcW w:w="1885" w:type="dxa"/>
          </w:tcPr>
          <w:p w14:paraId="1CED4C79" w14:textId="77777777" w:rsidR="00611A4D" w:rsidRDefault="00611A4D" w:rsidP="009A763F">
            <w:proofErr w:type="spellStart"/>
            <w:r>
              <w:t>Hithadhoo</w:t>
            </w:r>
            <w:proofErr w:type="spellEnd"/>
          </w:p>
        </w:tc>
      </w:tr>
      <w:tr w:rsidR="00611A4D" w14:paraId="11B1BDAE" w14:textId="77777777" w:rsidTr="009A763F">
        <w:tc>
          <w:tcPr>
            <w:tcW w:w="2875" w:type="dxa"/>
          </w:tcPr>
          <w:p w14:paraId="294C4818" w14:textId="77777777" w:rsidR="00611A4D" w:rsidRDefault="00611A4D" w:rsidP="009A763F">
            <w:r>
              <w:t>Health</w:t>
            </w:r>
          </w:p>
        </w:tc>
        <w:tc>
          <w:tcPr>
            <w:tcW w:w="4590" w:type="dxa"/>
          </w:tcPr>
          <w:p w14:paraId="6E768FEA" w14:textId="77777777" w:rsidR="00611A4D" w:rsidRDefault="00611A4D" w:rsidP="009A763F">
            <w:r>
              <w:t>Paramedics Service</w:t>
            </w:r>
          </w:p>
        </w:tc>
        <w:tc>
          <w:tcPr>
            <w:tcW w:w="1885" w:type="dxa"/>
          </w:tcPr>
          <w:p w14:paraId="557C03FC" w14:textId="77777777" w:rsidR="00611A4D" w:rsidRDefault="00611A4D" w:rsidP="009A763F">
            <w:proofErr w:type="spellStart"/>
            <w:r>
              <w:t>Hithadhoo</w:t>
            </w:r>
            <w:proofErr w:type="spellEnd"/>
          </w:p>
        </w:tc>
      </w:tr>
      <w:tr w:rsidR="00611A4D" w14:paraId="4DC79A26" w14:textId="77777777" w:rsidTr="009A763F">
        <w:tc>
          <w:tcPr>
            <w:tcW w:w="2875" w:type="dxa"/>
            <w:vMerge w:val="restart"/>
            <w:vAlign w:val="center"/>
          </w:tcPr>
          <w:p w14:paraId="6AC67B99" w14:textId="77777777" w:rsidR="00611A4D" w:rsidRDefault="00611A4D" w:rsidP="009A763F">
            <w:r>
              <w:t>Education</w:t>
            </w:r>
          </w:p>
        </w:tc>
        <w:tc>
          <w:tcPr>
            <w:tcW w:w="4590" w:type="dxa"/>
            <w:vMerge w:val="restart"/>
            <w:vAlign w:val="center"/>
          </w:tcPr>
          <w:p w14:paraId="5B80900C" w14:textId="77777777" w:rsidR="00611A4D" w:rsidRDefault="00611A4D" w:rsidP="009A763F">
            <w:r>
              <w:t>Private School</w:t>
            </w:r>
          </w:p>
        </w:tc>
        <w:tc>
          <w:tcPr>
            <w:tcW w:w="1885" w:type="dxa"/>
          </w:tcPr>
          <w:p w14:paraId="6E22F2C0" w14:textId="77777777" w:rsidR="00611A4D" w:rsidRDefault="00611A4D" w:rsidP="009A763F">
            <w:proofErr w:type="spellStart"/>
            <w:r>
              <w:t>Hithadhoo</w:t>
            </w:r>
            <w:proofErr w:type="spellEnd"/>
          </w:p>
        </w:tc>
      </w:tr>
      <w:tr w:rsidR="00611A4D" w14:paraId="47D71044" w14:textId="77777777" w:rsidTr="009A763F">
        <w:tc>
          <w:tcPr>
            <w:tcW w:w="2875" w:type="dxa"/>
            <w:vMerge/>
          </w:tcPr>
          <w:p w14:paraId="7D717AF1" w14:textId="77777777" w:rsidR="00611A4D" w:rsidRDefault="00611A4D" w:rsidP="009A763F"/>
        </w:tc>
        <w:tc>
          <w:tcPr>
            <w:tcW w:w="4590" w:type="dxa"/>
            <w:vMerge/>
          </w:tcPr>
          <w:p w14:paraId="05867946" w14:textId="77777777" w:rsidR="00611A4D" w:rsidRDefault="00611A4D" w:rsidP="009A763F"/>
        </w:tc>
        <w:tc>
          <w:tcPr>
            <w:tcW w:w="1885" w:type="dxa"/>
          </w:tcPr>
          <w:p w14:paraId="12E72083" w14:textId="77777777" w:rsidR="00611A4D" w:rsidRDefault="00611A4D" w:rsidP="009A763F">
            <w:proofErr w:type="spellStart"/>
            <w:r>
              <w:t>Hulhudhoo</w:t>
            </w:r>
            <w:proofErr w:type="spellEnd"/>
          </w:p>
        </w:tc>
      </w:tr>
      <w:tr w:rsidR="00611A4D" w14:paraId="6C1D9B98" w14:textId="77777777" w:rsidTr="009A763F">
        <w:tc>
          <w:tcPr>
            <w:tcW w:w="2875" w:type="dxa"/>
            <w:vMerge/>
          </w:tcPr>
          <w:p w14:paraId="2097CFE8" w14:textId="77777777" w:rsidR="00611A4D" w:rsidRDefault="00611A4D" w:rsidP="009A763F"/>
        </w:tc>
        <w:tc>
          <w:tcPr>
            <w:tcW w:w="4590" w:type="dxa"/>
            <w:vMerge w:val="restart"/>
            <w:vAlign w:val="center"/>
          </w:tcPr>
          <w:p w14:paraId="7B0FAA87" w14:textId="77777777" w:rsidR="00611A4D" w:rsidRDefault="00611A4D" w:rsidP="009A763F">
            <w:r>
              <w:t>Private Boarding Schools (</w:t>
            </w:r>
            <w:proofErr w:type="spellStart"/>
            <w:r>
              <w:t>Dhanaalu</w:t>
            </w:r>
            <w:proofErr w:type="spellEnd"/>
            <w:r>
              <w:t>)</w:t>
            </w:r>
          </w:p>
        </w:tc>
        <w:tc>
          <w:tcPr>
            <w:tcW w:w="1885" w:type="dxa"/>
          </w:tcPr>
          <w:p w14:paraId="230E068A" w14:textId="77777777" w:rsidR="00611A4D" w:rsidRDefault="00611A4D" w:rsidP="009A763F">
            <w:proofErr w:type="spellStart"/>
            <w:r>
              <w:t>Hithadhoo</w:t>
            </w:r>
            <w:proofErr w:type="spellEnd"/>
          </w:p>
        </w:tc>
      </w:tr>
      <w:tr w:rsidR="00611A4D" w14:paraId="2BD1BFE1" w14:textId="77777777" w:rsidTr="009A763F">
        <w:tc>
          <w:tcPr>
            <w:tcW w:w="2875" w:type="dxa"/>
            <w:vMerge/>
          </w:tcPr>
          <w:p w14:paraId="46E710A7" w14:textId="77777777" w:rsidR="00611A4D" w:rsidRDefault="00611A4D" w:rsidP="009A763F"/>
        </w:tc>
        <w:tc>
          <w:tcPr>
            <w:tcW w:w="4590" w:type="dxa"/>
            <w:vMerge/>
          </w:tcPr>
          <w:p w14:paraId="2976A904" w14:textId="77777777" w:rsidR="00611A4D" w:rsidRDefault="00611A4D" w:rsidP="009A763F"/>
        </w:tc>
        <w:tc>
          <w:tcPr>
            <w:tcW w:w="1885" w:type="dxa"/>
          </w:tcPr>
          <w:p w14:paraId="483EC9D5" w14:textId="77777777" w:rsidR="00611A4D" w:rsidRDefault="00611A4D" w:rsidP="009A763F">
            <w:proofErr w:type="spellStart"/>
            <w:r>
              <w:t>Hulhudhoo</w:t>
            </w:r>
            <w:proofErr w:type="spellEnd"/>
          </w:p>
        </w:tc>
      </w:tr>
      <w:tr w:rsidR="00611A4D" w14:paraId="5F42D57E" w14:textId="77777777" w:rsidTr="009A763F">
        <w:tc>
          <w:tcPr>
            <w:tcW w:w="2875" w:type="dxa"/>
            <w:vMerge/>
          </w:tcPr>
          <w:p w14:paraId="28BAE9DD" w14:textId="77777777" w:rsidR="00611A4D" w:rsidRDefault="00611A4D" w:rsidP="009A763F"/>
        </w:tc>
        <w:tc>
          <w:tcPr>
            <w:tcW w:w="4590" w:type="dxa"/>
          </w:tcPr>
          <w:p w14:paraId="25AA95EF" w14:textId="77777777" w:rsidR="00611A4D" w:rsidRDefault="00611A4D" w:rsidP="009A763F">
            <w:r>
              <w:t>Vocational Training</w:t>
            </w:r>
          </w:p>
        </w:tc>
        <w:tc>
          <w:tcPr>
            <w:tcW w:w="1885" w:type="dxa"/>
          </w:tcPr>
          <w:p w14:paraId="1C46B2B7" w14:textId="77777777" w:rsidR="00611A4D" w:rsidRDefault="00611A4D" w:rsidP="009A763F">
            <w:proofErr w:type="spellStart"/>
            <w:r>
              <w:t>Hithadhoo</w:t>
            </w:r>
            <w:proofErr w:type="spellEnd"/>
          </w:p>
        </w:tc>
      </w:tr>
      <w:tr w:rsidR="00611A4D" w14:paraId="72FE518A" w14:textId="77777777" w:rsidTr="009A763F">
        <w:tc>
          <w:tcPr>
            <w:tcW w:w="2875" w:type="dxa"/>
            <w:vMerge/>
          </w:tcPr>
          <w:p w14:paraId="220539C3" w14:textId="77777777" w:rsidR="00611A4D" w:rsidRDefault="00611A4D" w:rsidP="009A763F"/>
        </w:tc>
        <w:tc>
          <w:tcPr>
            <w:tcW w:w="4590" w:type="dxa"/>
          </w:tcPr>
          <w:p w14:paraId="3D85B266" w14:textId="77777777" w:rsidR="00611A4D" w:rsidRDefault="00611A4D" w:rsidP="009A763F">
            <w:r>
              <w:t>Junior College</w:t>
            </w:r>
          </w:p>
        </w:tc>
        <w:tc>
          <w:tcPr>
            <w:tcW w:w="1885" w:type="dxa"/>
          </w:tcPr>
          <w:p w14:paraId="4D19D49C" w14:textId="77777777" w:rsidR="00611A4D" w:rsidRDefault="00611A4D" w:rsidP="009A763F">
            <w:proofErr w:type="spellStart"/>
            <w:r>
              <w:t>Hithadhoo</w:t>
            </w:r>
            <w:proofErr w:type="spellEnd"/>
          </w:p>
        </w:tc>
      </w:tr>
      <w:tr w:rsidR="00611A4D" w14:paraId="3A81BC86" w14:textId="77777777" w:rsidTr="009A763F">
        <w:tc>
          <w:tcPr>
            <w:tcW w:w="2875" w:type="dxa"/>
            <w:vMerge/>
          </w:tcPr>
          <w:p w14:paraId="218B186A" w14:textId="77777777" w:rsidR="00611A4D" w:rsidRDefault="00611A4D" w:rsidP="009A763F"/>
        </w:tc>
        <w:tc>
          <w:tcPr>
            <w:tcW w:w="4590" w:type="dxa"/>
          </w:tcPr>
          <w:p w14:paraId="703468F5" w14:textId="77777777" w:rsidR="00611A4D" w:rsidRDefault="00611A4D" w:rsidP="009A763F">
            <w:r>
              <w:t>Other Training Centers</w:t>
            </w:r>
          </w:p>
        </w:tc>
        <w:tc>
          <w:tcPr>
            <w:tcW w:w="1885" w:type="dxa"/>
          </w:tcPr>
          <w:p w14:paraId="25AB5FAA" w14:textId="77777777" w:rsidR="00611A4D" w:rsidRDefault="00611A4D" w:rsidP="009A763F">
            <w:proofErr w:type="spellStart"/>
            <w:r>
              <w:t>Hithadhoo</w:t>
            </w:r>
            <w:proofErr w:type="spellEnd"/>
          </w:p>
        </w:tc>
      </w:tr>
      <w:tr w:rsidR="00611A4D" w14:paraId="16A74C33" w14:textId="77777777" w:rsidTr="009A763F">
        <w:tc>
          <w:tcPr>
            <w:tcW w:w="2875" w:type="dxa"/>
            <w:vMerge/>
          </w:tcPr>
          <w:p w14:paraId="1E2A2A43" w14:textId="77777777" w:rsidR="00611A4D" w:rsidRDefault="00611A4D" w:rsidP="009A763F"/>
        </w:tc>
        <w:tc>
          <w:tcPr>
            <w:tcW w:w="4590" w:type="dxa"/>
          </w:tcPr>
          <w:p w14:paraId="52A40E0D" w14:textId="77777777" w:rsidR="00611A4D" w:rsidRDefault="00611A4D" w:rsidP="009A763F">
            <w:r>
              <w:t>Family Student Hostel</w:t>
            </w:r>
          </w:p>
        </w:tc>
        <w:tc>
          <w:tcPr>
            <w:tcW w:w="1885" w:type="dxa"/>
          </w:tcPr>
          <w:p w14:paraId="7ABBEE06" w14:textId="77777777" w:rsidR="00611A4D" w:rsidRDefault="00611A4D" w:rsidP="009A763F">
            <w:proofErr w:type="spellStart"/>
            <w:r>
              <w:t>Hithadhoo</w:t>
            </w:r>
            <w:proofErr w:type="spellEnd"/>
          </w:p>
        </w:tc>
      </w:tr>
      <w:tr w:rsidR="00611A4D" w14:paraId="4DF8C148" w14:textId="77777777" w:rsidTr="009A763F">
        <w:tc>
          <w:tcPr>
            <w:tcW w:w="2875" w:type="dxa"/>
            <w:vMerge/>
          </w:tcPr>
          <w:p w14:paraId="2B230949" w14:textId="77777777" w:rsidR="00611A4D" w:rsidRDefault="00611A4D" w:rsidP="009A763F"/>
        </w:tc>
        <w:tc>
          <w:tcPr>
            <w:tcW w:w="4590" w:type="dxa"/>
            <w:vMerge w:val="restart"/>
            <w:vAlign w:val="center"/>
          </w:tcPr>
          <w:p w14:paraId="7A27F74E" w14:textId="77777777" w:rsidR="00611A4D" w:rsidRDefault="00611A4D" w:rsidP="009A763F">
            <w:r>
              <w:t>High Secondary Education</w:t>
            </w:r>
          </w:p>
        </w:tc>
        <w:tc>
          <w:tcPr>
            <w:tcW w:w="1885" w:type="dxa"/>
          </w:tcPr>
          <w:p w14:paraId="6A47579B" w14:textId="77777777" w:rsidR="00611A4D" w:rsidRDefault="00611A4D" w:rsidP="009A763F">
            <w:proofErr w:type="spellStart"/>
            <w:r>
              <w:t>Hithadhoo</w:t>
            </w:r>
            <w:proofErr w:type="spellEnd"/>
          </w:p>
        </w:tc>
      </w:tr>
      <w:tr w:rsidR="00611A4D" w14:paraId="229F2E05" w14:textId="77777777" w:rsidTr="009A763F">
        <w:tc>
          <w:tcPr>
            <w:tcW w:w="2875" w:type="dxa"/>
            <w:vMerge/>
          </w:tcPr>
          <w:p w14:paraId="5B1BB72E" w14:textId="77777777" w:rsidR="00611A4D" w:rsidRDefault="00611A4D" w:rsidP="009A763F"/>
        </w:tc>
        <w:tc>
          <w:tcPr>
            <w:tcW w:w="4590" w:type="dxa"/>
            <w:vMerge/>
          </w:tcPr>
          <w:p w14:paraId="514F3940" w14:textId="77777777" w:rsidR="00611A4D" w:rsidRDefault="00611A4D" w:rsidP="009A763F"/>
        </w:tc>
        <w:tc>
          <w:tcPr>
            <w:tcW w:w="1885" w:type="dxa"/>
          </w:tcPr>
          <w:p w14:paraId="67542869" w14:textId="77777777" w:rsidR="00611A4D" w:rsidRDefault="00611A4D" w:rsidP="009A763F">
            <w:proofErr w:type="spellStart"/>
            <w:r>
              <w:t>Hulhudhoo</w:t>
            </w:r>
            <w:proofErr w:type="spellEnd"/>
          </w:p>
        </w:tc>
      </w:tr>
      <w:tr w:rsidR="00611A4D" w14:paraId="5140368C" w14:textId="77777777" w:rsidTr="009A763F">
        <w:tc>
          <w:tcPr>
            <w:tcW w:w="2875" w:type="dxa"/>
            <w:vMerge w:val="restart"/>
            <w:vAlign w:val="center"/>
          </w:tcPr>
          <w:p w14:paraId="4FB5428B" w14:textId="77777777" w:rsidR="00611A4D" w:rsidRDefault="00611A4D" w:rsidP="009A763F">
            <w:r>
              <w:t>Social Services</w:t>
            </w:r>
          </w:p>
        </w:tc>
        <w:tc>
          <w:tcPr>
            <w:tcW w:w="4590" w:type="dxa"/>
            <w:vMerge w:val="restart"/>
            <w:vAlign w:val="center"/>
          </w:tcPr>
          <w:p w14:paraId="77C6A855" w14:textId="77777777" w:rsidR="00611A4D" w:rsidRDefault="00611A4D" w:rsidP="009A763F">
            <w:r>
              <w:t>Children’s Home</w:t>
            </w:r>
          </w:p>
        </w:tc>
        <w:tc>
          <w:tcPr>
            <w:tcW w:w="1885" w:type="dxa"/>
          </w:tcPr>
          <w:p w14:paraId="1B34BCEB" w14:textId="77777777" w:rsidR="00611A4D" w:rsidRDefault="00611A4D" w:rsidP="009A763F">
            <w:proofErr w:type="spellStart"/>
            <w:r>
              <w:t>Hithadhoo</w:t>
            </w:r>
            <w:proofErr w:type="spellEnd"/>
          </w:p>
        </w:tc>
      </w:tr>
      <w:tr w:rsidR="00611A4D" w14:paraId="50EF0762" w14:textId="77777777" w:rsidTr="009A763F">
        <w:tc>
          <w:tcPr>
            <w:tcW w:w="2875" w:type="dxa"/>
            <w:vMerge/>
          </w:tcPr>
          <w:p w14:paraId="27797506" w14:textId="77777777" w:rsidR="00611A4D" w:rsidRDefault="00611A4D" w:rsidP="009A763F"/>
        </w:tc>
        <w:tc>
          <w:tcPr>
            <w:tcW w:w="4590" w:type="dxa"/>
            <w:vMerge/>
          </w:tcPr>
          <w:p w14:paraId="798B2AB0" w14:textId="77777777" w:rsidR="00611A4D" w:rsidRDefault="00611A4D" w:rsidP="009A763F"/>
        </w:tc>
        <w:tc>
          <w:tcPr>
            <w:tcW w:w="1885" w:type="dxa"/>
          </w:tcPr>
          <w:p w14:paraId="6AF19506" w14:textId="77777777" w:rsidR="00611A4D" w:rsidRDefault="00611A4D" w:rsidP="009A763F">
            <w:proofErr w:type="spellStart"/>
            <w:r>
              <w:t>Meedhoo</w:t>
            </w:r>
            <w:proofErr w:type="spellEnd"/>
          </w:p>
        </w:tc>
      </w:tr>
      <w:tr w:rsidR="00611A4D" w14:paraId="3003D3A7" w14:textId="77777777" w:rsidTr="009A763F">
        <w:tc>
          <w:tcPr>
            <w:tcW w:w="2875" w:type="dxa"/>
            <w:vMerge/>
          </w:tcPr>
          <w:p w14:paraId="7CFB0C58" w14:textId="77777777" w:rsidR="00611A4D" w:rsidRDefault="00611A4D" w:rsidP="009A763F"/>
        </w:tc>
        <w:tc>
          <w:tcPr>
            <w:tcW w:w="4590" w:type="dxa"/>
          </w:tcPr>
          <w:p w14:paraId="461592B1" w14:textId="77777777" w:rsidR="00611A4D" w:rsidRDefault="00611A4D" w:rsidP="009A763F">
            <w:r>
              <w:t>Aged Care Service</w:t>
            </w:r>
          </w:p>
        </w:tc>
        <w:tc>
          <w:tcPr>
            <w:tcW w:w="1885" w:type="dxa"/>
          </w:tcPr>
          <w:p w14:paraId="44A95A8E" w14:textId="77777777" w:rsidR="00611A4D" w:rsidRDefault="00611A4D" w:rsidP="009A763F">
            <w:proofErr w:type="spellStart"/>
            <w:r>
              <w:t>Hithadhoo</w:t>
            </w:r>
            <w:proofErr w:type="spellEnd"/>
          </w:p>
        </w:tc>
      </w:tr>
      <w:tr w:rsidR="00611A4D" w14:paraId="4D874BCB" w14:textId="77777777" w:rsidTr="009A763F">
        <w:tc>
          <w:tcPr>
            <w:tcW w:w="2875" w:type="dxa"/>
            <w:vMerge/>
          </w:tcPr>
          <w:p w14:paraId="1DDB6DE2" w14:textId="77777777" w:rsidR="00611A4D" w:rsidRDefault="00611A4D" w:rsidP="009A763F"/>
        </w:tc>
        <w:tc>
          <w:tcPr>
            <w:tcW w:w="4590" w:type="dxa"/>
          </w:tcPr>
          <w:p w14:paraId="06134422" w14:textId="77777777" w:rsidR="00611A4D" w:rsidRDefault="00611A4D" w:rsidP="009A763F">
            <w:r>
              <w:t>Safe Home</w:t>
            </w:r>
          </w:p>
        </w:tc>
        <w:tc>
          <w:tcPr>
            <w:tcW w:w="1885" w:type="dxa"/>
          </w:tcPr>
          <w:p w14:paraId="2C297557" w14:textId="77777777" w:rsidR="00611A4D" w:rsidRDefault="00611A4D" w:rsidP="009A763F">
            <w:proofErr w:type="spellStart"/>
            <w:r>
              <w:t>Meedhoo</w:t>
            </w:r>
            <w:proofErr w:type="spellEnd"/>
          </w:p>
        </w:tc>
      </w:tr>
      <w:tr w:rsidR="00611A4D" w14:paraId="57D2655E" w14:textId="77777777" w:rsidTr="009A763F">
        <w:tc>
          <w:tcPr>
            <w:tcW w:w="2875" w:type="dxa"/>
          </w:tcPr>
          <w:p w14:paraId="5A7385A2" w14:textId="77777777" w:rsidR="00611A4D" w:rsidRDefault="00611A4D" w:rsidP="009A763F">
            <w:r>
              <w:t>Police</w:t>
            </w:r>
          </w:p>
        </w:tc>
        <w:tc>
          <w:tcPr>
            <w:tcW w:w="4590" w:type="dxa"/>
          </w:tcPr>
          <w:p w14:paraId="1CDA7E5B" w14:textId="77777777" w:rsidR="00611A4D" w:rsidRDefault="00611A4D" w:rsidP="009A763F">
            <w:r>
              <w:t>Police Post</w:t>
            </w:r>
          </w:p>
        </w:tc>
        <w:tc>
          <w:tcPr>
            <w:tcW w:w="1885" w:type="dxa"/>
          </w:tcPr>
          <w:p w14:paraId="052E2F1F" w14:textId="77777777" w:rsidR="00611A4D" w:rsidRDefault="00611A4D" w:rsidP="009A763F">
            <w:proofErr w:type="spellStart"/>
            <w:r>
              <w:t>Hithadhoo</w:t>
            </w:r>
            <w:proofErr w:type="spellEnd"/>
          </w:p>
        </w:tc>
      </w:tr>
      <w:tr w:rsidR="00611A4D" w14:paraId="572FCCA2" w14:textId="77777777" w:rsidTr="009A763F">
        <w:tc>
          <w:tcPr>
            <w:tcW w:w="2875" w:type="dxa"/>
          </w:tcPr>
          <w:p w14:paraId="3D87AE53" w14:textId="77777777" w:rsidR="00611A4D" w:rsidRDefault="00611A4D" w:rsidP="009A763F">
            <w:r>
              <w:t>Civil Defense</w:t>
            </w:r>
          </w:p>
        </w:tc>
        <w:tc>
          <w:tcPr>
            <w:tcW w:w="4590" w:type="dxa"/>
          </w:tcPr>
          <w:p w14:paraId="19378491" w14:textId="77777777" w:rsidR="00611A4D" w:rsidRDefault="00611A4D" w:rsidP="009A763F">
            <w:r>
              <w:t>Central Fire Fighting Station</w:t>
            </w:r>
          </w:p>
        </w:tc>
        <w:tc>
          <w:tcPr>
            <w:tcW w:w="1885" w:type="dxa"/>
          </w:tcPr>
          <w:p w14:paraId="01E55D0F" w14:textId="77777777" w:rsidR="00611A4D" w:rsidRDefault="00611A4D" w:rsidP="009A763F">
            <w:proofErr w:type="spellStart"/>
            <w:r>
              <w:t>Hithadhoo</w:t>
            </w:r>
            <w:proofErr w:type="spellEnd"/>
          </w:p>
        </w:tc>
      </w:tr>
      <w:tr w:rsidR="00611A4D" w14:paraId="3395AE0F" w14:textId="77777777" w:rsidTr="009A763F">
        <w:tc>
          <w:tcPr>
            <w:tcW w:w="2875" w:type="dxa"/>
            <w:vMerge w:val="restart"/>
            <w:vAlign w:val="center"/>
          </w:tcPr>
          <w:p w14:paraId="5FCA47EE" w14:textId="77777777" w:rsidR="00611A4D" w:rsidRDefault="00611A4D" w:rsidP="009A763F">
            <w:r>
              <w:t>Banking</w:t>
            </w:r>
          </w:p>
        </w:tc>
        <w:tc>
          <w:tcPr>
            <w:tcW w:w="4590" w:type="dxa"/>
            <w:vMerge w:val="restart"/>
            <w:vAlign w:val="center"/>
          </w:tcPr>
          <w:p w14:paraId="6E366793" w14:textId="77777777" w:rsidR="00611A4D" w:rsidRDefault="00611A4D" w:rsidP="009A763F">
            <w:r>
              <w:t>Bank Branch</w:t>
            </w:r>
          </w:p>
        </w:tc>
        <w:tc>
          <w:tcPr>
            <w:tcW w:w="1885" w:type="dxa"/>
          </w:tcPr>
          <w:p w14:paraId="383064BE" w14:textId="77777777" w:rsidR="00611A4D" w:rsidRDefault="00611A4D" w:rsidP="009A763F">
            <w:proofErr w:type="spellStart"/>
            <w:r>
              <w:t>Hulhudhoo</w:t>
            </w:r>
            <w:proofErr w:type="spellEnd"/>
          </w:p>
        </w:tc>
      </w:tr>
      <w:tr w:rsidR="00611A4D" w14:paraId="7215378B" w14:textId="77777777" w:rsidTr="009A763F">
        <w:tc>
          <w:tcPr>
            <w:tcW w:w="2875" w:type="dxa"/>
            <w:vMerge/>
          </w:tcPr>
          <w:p w14:paraId="1043318C" w14:textId="77777777" w:rsidR="00611A4D" w:rsidRDefault="00611A4D" w:rsidP="009A763F"/>
        </w:tc>
        <w:tc>
          <w:tcPr>
            <w:tcW w:w="4590" w:type="dxa"/>
            <w:vMerge/>
          </w:tcPr>
          <w:p w14:paraId="7CD06EE5" w14:textId="77777777" w:rsidR="00611A4D" w:rsidRDefault="00611A4D" w:rsidP="009A763F"/>
        </w:tc>
        <w:tc>
          <w:tcPr>
            <w:tcW w:w="1885" w:type="dxa"/>
          </w:tcPr>
          <w:p w14:paraId="633B3961" w14:textId="77777777" w:rsidR="00611A4D" w:rsidRDefault="00611A4D" w:rsidP="009A763F">
            <w:proofErr w:type="spellStart"/>
            <w:r>
              <w:t>Hithadhoo</w:t>
            </w:r>
            <w:proofErr w:type="spellEnd"/>
          </w:p>
        </w:tc>
      </w:tr>
      <w:tr w:rsidR="00611A4D" w14:paraId="692B2DC9" w14:textId="77777777" w:rsidTr="009A763F">
        <w:tc>
          <w:tcPr>
            <w:tcW w:w="2875" w:type="dxa"/>
            <w:vMerge w:val="restart"/>
            <w:vAlign w:val="center"/>
          </w:tcPr>
          <w:p w14:paraId="3300D29F" w14:textId="77777777" w:rsidR="00611A4D" w:rsidRDefault="00611A4D" w:rsidP="009A763F">
            <w:r>
              <w:t>Judicial &amp; Correctional Services</w:t>
            </w:r>
          </w:p>
        </w:tc>
        <w:tc>
          <w:tcPr>
            <w:tcW w:w="4590" w:type="dxa"/>
          </w:tcPr>
          <w:p w14:paraId="419CF2CE" w14:textId="77777777" w:rsidR="00611A4D" w:rsidRDefault="00611A4D" w:rsidP="009A763F">
            <w:r>
              <w:t>District Courts Complex</w:t>
            </w:r>
          </w:p>
        </w:tc>
        <w:tc>
          <w:tcPr>
            <w:tcW w:w="1885" w:type="dxa"/>
          </w:tcPr>
          <w:p w14:paraId="3D1BA8E5" w14:textId="77777777" w:rsidR="00611A4D" w:rsidRDefault="00611A4D" w:rsidP="009A763F">
            <w:proofErr w:type="spellStart"/>
            <w:r>
              <w:t>Hithadhoo</w:t>
            </w:r>
            <w:proofErr w:type="spellEnd"/>
          </w:p>
        </w:tc>
      </w:tr>
      <w:tr w:rsidR="00611A4D" w14:paraId="33264C67" w14:textId="77777777" w:rsidTr="009A763F">
        <w:tc>
          <w:tcPr>
            <w:tcW w:w="2875" w:type="dxa"/>
            <w:vMerge/>
          </w:tcPr>
          <w:p w14:paraId="388854A2" w14:textId="77777777" w:rsidR="00611A4D" w:rsidRDefault="00611A4D" w:rsidP="009A763F"/>
        </w:tc>
        <w:tc>
          <w:tcPr>
            <w:tcW w:w="4590" w:type="dxa"/>
          </w:tcPr>
          <w:p w14:paraId="612391CF" w14:textId="77777777" w:rsidR="00611A4D" w:rsidRDefault="00611A4D" w:rsidP="009A763F">
            <w:r>
              <w:t>Juvenile Justice Service – Regional Branches</w:t>
            </w:r>
          </w:p>
        </w:tc>
        <w:tc>
          <w:tcPr>
            <w:tcW w:w="1885" w:type="dxa"/>
          </w:tcPr>
          <w:p w14:paraId="2C9D8C90" w14:textId="77777777" w:rsidR="00611A4D" w:rsidRDefault="00611A4D" w:rsidP="009A763F">
            <w:proofErr w:type="spellStart"/>
            <w:r>
              <w:t>Hithadhoo</w:t>
            </w:r>
            <w:proofErr w:type="spellEnd"/>
          </w:p>
        </w:tc>
      </w:tr>
      <w:tr w:rsidR="00611A4D" w14:paraId="11A5C69C" w14:textId="77777777" w:rsidTr="009A763F">
        <w:tc>
          <w:tcPr>
            <w:tcW w:w="2875" w:type="dxa"/>
            <w:vMerge/>
          </w:tcPr>
          <w:p w14:paraId="5F4DC7F5" w14:textId="77777777" w:rsidR="00611A4D" w:rsidRDefault="00611A4D" w:rsidP="009A763F"/>
        </w:tc>
        <w:tc>
          <w:tcPr>
            <w:tcW w:w="4590" w:type="dxa"/>
          </w:tcPr>
          <w:p w14:paraId="45FCF937" w14:textId="77777777" w:rsidR="00611A4D" w:rsidRDefault="00611A4D" w:rsidP="009A763F">
            <w:r>
              <w:t>Dispute Resolution Centers</w:t>
            </w:r>
          </w:p>
        </w:tc>
        <w:tc>
          <w:tcPr>
            <w:tcW w:w="1885" w:type="dxa"/>
          </w:tcPr>
          <w:p w14:paraId="14F18C73" w14:textId="77777777" w:rsidR="00611A4D" w:rsidRDefault="00611A4D" w:rsidP="009A763F">
            <w:proofErr w:type="spellStart"/>
            <w:r>
              <w:t>Hithadhoo</w:t>
            </w:r>
            <w:proofErr w:type="spellEnd"/>
          </w:p>
        </w:tc>
      </w:tr>
      <w:tr w:rsidR="00611A4D" w14:paraId="43223CE3" w14:textId="77777777" w:rsidTr="009A763F">
        <w:tc>
          <w:tcPr>
            <w:tcW w:w="2875" w:type="dxa"/>
            <w:vMerge/>
          </w:tcPr>
          <w:p w14:paraId="1FC1164E" w14:textId="77777777" w:rsidR="00611A4D" w:rsidRDefault="00611A4D" w:rsidP="009A763F"/>
        </w:tc>
        <w:tc>
          <w:tcPr>
            <w:tcW w:w="4590" w:type="dxa"/>
          </w:tcPr>
          <w:p w14:paraId="4D817AB0" w14:textId="77777777" w:rsidR="00611A4D" w:rsidRDefault="00611A4D" w:rsidP="009A763F">
            <w:r>
              <w:t>Public Defenders Office, AG, PG Regional Branches</w:t>
            </w:r>
          </w:p>
        </w:tc>
        <w:tc>
          <w:tcPr>
            <w:tcW w:w="1885" w:type="dxa"/>
          </w:tcPr>
          <w:p w14:paraId="7B4C8F4B" w14:textId="77777777" w:rsidR="00611A4D" w:rsidRDefault="00611A4D" w:rsidP="009A763F">
            <w:proofErr w:type="spellStart"/>
            <w:r>
              <w:t>Hithadhoo</w:t>
            </w:r>
            <w:proofErr w:type="spellEnd"/>
          </w:p>
        </w:tc>
      </w:tr>
      <w:tr w:rsidR="00611A4D" w14:paraId="1034190B" w14:textId="77777777" w:rsidTr="009A763F">
        <w:tc>
          <w:tcPr>
            <w:tcW w:w="2875" w:type="dxa"/>
          </w:tcPr>
          <w:p w14:paraId="1386A80F" w14:textId="77777777" w:rsidR="00611A4D" w:rsidRDefault="00611A4D" w:rsidP="009A763F">
            <w:r>
              <w:t>Utilities</w:t>
            </w:r>
          </w:p>
        </w:tc>
        <w:tc>
          <w:tcPr>
            <w:tcW w:w="4590" w:type="dxa"/>
          </w:tcPr>
          <w:p w14:paraId="2FEA07E4" w14:textId="77777777" w:rsidR="00611A4D" w:rsidRDefault="00611A4D" w:rsidP="009A763F">
            <w:r>
              <w:t>Regional Waste Management Center</w:t>
            </w:r>
          </w:p>
        </w:tc>
        <w:tc>
          <w:tcPr>
            <w:tcW w:w="1885" w:type="dxa"/>
          </w:tcPr>
          <w:p w14:paraId="403D7165" w14:textId="77777777" w:rsidR="00611A4D" w:rsidRDefault="00611A4D" w:rsidP="009A763F">
            <w:proofErr w:type="spellStart"/>
            <w:r>
              <w:t>Hithadhoo</w:t>
            </w:r>
            <w:proofErr w:type="spellEnd"/>
          </w:p>
        </w:tc>
      </w:tr>
      <w:tr w:rsidR="00611A4D" w14:paraId="5BB3F41C" w14:textId="77777777" w:rsidTr="009A763F">
        <w:tc>
          <w:tcPr>
            <w:tcW w:w="2875" w:type="dxa"/>
            <w:vMerge w:val="restart"/>
            <w:vAlign w:val="center"/>
          </w:tcPr>
          <w:p w14:paraId="39B17D4F" w14:textId="77777777" w:rsidR="00611A4D" w:rsidRDefault="00611A4D" w:rsidP="009A763F">
            <w:r>
              <w:t>ICT</w:t>
            </w:r>
          </w:p>
        </w:tc>
        <w:tc>
          <w:tcPr>
            <w:tcW w:w="4590" w:type="dxa"/>
            <w:vMerge w:val="restart"/>
            <w:vAlign w:val="center"/>
          </w:tcPr>
          <w:p w14:paraId="69211005" w14:textId="77777777" w:rsidR="00611A4D" w:rsidRDefault="00611A4D" w:rsidP="009A763F">
            <w:r>
              <w:t>Regional Data Center</w:t>
            </w:r>
          </w:p>
        </w:tc>
        <w:tc>
          <w:tcPr>
            <w:tcW w:w="1885" w:type="dxa"/>
          </w:tcPr>
          <w:p w14:paraId="3470853B" w14:textId="77777777" w:rsidR="00611A4D" w:rsidRDefault="00611A4D" w:rsidP="009A763F">
            <w:proofErr w:type="spellStart"/>
            <w:r>
              <w:t>Hithadhoo</w:t>
            </w:r>
            <w:proofErr w:type="spellEnd"/>
          </w:p>
        </w:tc>
      </w:tr>
      <w:tr w:rsidR="00611A4D" w14:paraId="0235531C" w14:textId="77777777" w:rsidTr="009A763F">
        <w:tc>
          <w:tcPr>
            <w:tcW w:w="2875" w:type="dxa"/>
            <w:vMerge/>
          </w:tcPr>
          <w:p w14:paraId="21A8C18C" w14:textId="77777777" w:rsidR="00611A4D" w:rsidRDefault="00611A4D" w:rsidP="009A763F"/>
        </w:tc>
        <w:tc>
          <w:tcPr>
            <w:tcW w:w="4590" w:type="dxa"/>
            <w:vMerge/>
          </w:tcPr>
          <w:p w14:paraId="6215D67F" w14:textId="77777777" w:rsidR="00611A4D" w:rsidRDefault="00611A4D" w:rsidP="009A763F"/>
        </w:tc>
        <w:tc>
          <w:tcPr>
            <w:tcW w:w="1885" w:type="dxa"/>
          </w:tcPr>
          <w:p w14:paraId="7AD2C0A4" w14:textId="77777777" w:rsidR="00611A4D" w:rsidRDefault="00611A4D" w:rsidP="009A763F">
            <w:proofErr w:type="spellStart"/>
            <w:r>
              <w:t>Feydhoo</w:t>
            </w:r>
            <w:proofErr w:type="spellEnd"/>
          </w:p>
        </w:tc>
      </w:tr>
      <w:tr w:rsidR="00611A4D" w14:paraId="4DF6B35C" w14:textId="77777777" w:rsidTr="009A763F">
        <w:tc>
          <w:tcPr>
            <w:tcW w:w="2875" w:type="dxa"/>
            <w:vMerge/>
          </w:tcPr>
          <w:p w14:paraId="52C212A4" w14:textId="77777777" w:rsidR="00611A4D" w:rsidRDefault="00611A4D" w:rsidP="009A763F"/>
        </w:tc>
        <w:tc>
          <w:tcPr>
            <w:tcW w:w="4590" w:type="dxa"/>
            <w:vMerge/>
          </w:tcPr>
          <w:p w14:paraId="7A5203A1" w14:textId="77777777" w:rsidR="00611A4D" w:rsidRDefault="00611A4D" w:rsidP="009A763F"/>
        </w:tc>
        <w:tc>
          <w:tcPr>
            <w:tcW w:w="1885" w:type="dxa"/>
          </w:tcPr>
          <w:p w14:paraId="37623777" w14:textId="77777777" w:rsidR="00611A4D" w:rsidRDefault="00611A4D" w:rsidP="009A763F">
            <w:proofErr w:type="spellStart"/>
            <w:r>
              <w:t>Maradhoo</w:t>
            </w:r>
            <w:proofErr w:type="spellEnd"/>
          </w:p>
        </w:tc>
      </w:tr>
      <w:tr w:rsidR="00611A4D" w14:paraId="364AB726" w14:textId="77777777" w:rsidTr="009A763F">
        <w:tc>
          <w:tcPr>
            <w:tcW w:w="2875" w:type="dxa"/>
            <w:vMerge/>
          </w:tcPr>
          <w:p w14:paraId="0C4BB62E" w14:textId="77777777" w:rsidR="00611A4D" w:rsidRDefault="00611A4D" w:rsidP="009A763F"/>
        </w:tc>
        <w:tc>
          <w:tcPr>
            <w:tcW w:w="4590" w:type="dxa"/>
            <w:vMerge/>
          </w:tcPr>
          <w:p w14:paraId="4F98A973" w14:textId="77777777" w:rsidR="00611A4D" w:rsidRDefault="00611A4D" w:rsidP="009A763F"/>
        </w:tc>
        <w:tc>
          <w:tcPr>
            <w:tcW w:w="1885" w:type="dxa"/>
          </w:tcPr>
          <w:p w14:paraId="2EA97719" w14:textId="77777777" w:rsidR="00611A4D" w:rsidRDefault="00611A4D" w:rsidP="009A763F">
            <w:proofErr w:type="spellStart"/>
            <w:r>
              <w:t>Maradhoo</w:t>
            </w:r>
            <w:proofErr w:type="spellEnd"/>
            <w:r>
              <w:t xml:space="preserve"> </w:t>
            </w:r>
            <w:proofErr w:type="spellStart"/>
            <w:r>
              <w:t>Feydhoo</w:t>
            </w:r>
            <w:proofErr w:type="spellEnd"/>
          </w:p>
        </w:tc>
      </w:tr>
      <w:tr w:rsidR="00611A4D" w14:paraId="30EF188C" w14:textId="77777777" w:rsidTr="009A763F">
        <w:tc>
          <w:tcPr>
            <w:tcW w:w="2875" w:type="dxa"/>
            <w:vMerge/>
          </w:tcPr>
          <w:p w14:paraId="6B610811" w14:textId="77777777" w:rsidR="00611A4D" w:rsidRDefault="00611A4D" w:rsidP="009A763F"/>
        </w:tc>
        <w:tc>
          <w:tcPr>
            <w:tcW w:w="4590" w:type="dxa"/>
            <w:vMerge/>
          </w:tcPr>
          <w:p w14:paraId="047F5729" w14:textId="77777777" w:rsidR="00611A4D" w:rsidRDefault="00611A4D" w:rsidP="009A763F"/>
        </w:tc>
        <w:tc>
          <w:tcPr>
            <w:tcW w:w="1885" w:type="dxa"/>
          </w:tcPr>
          <w:p w14:paraId="243F716D" w14:textId="77777777" w:rsidR="00611A4D" w:rsidRDefault="00611A4D" w:rsidP="009A763F">
            <w:proofErr w:type="spellStart"/>
            <w:r>
              <w:t>Hulhudhoo</w:t>
            </w:r>
            <w:proofErr w:type="spellEnd"/>
          </w:p>
        </w:tc>
      </w:tr>
      <w:tr w:rsidR="00611A4D" w14:paraId="3402BC63" w14:textId="77777777" w:rsidTr="009A763F">
        <w:tc>
          <w:tcPr>
            <w:tcW w:w="2875" w:type="dxa"/>
            <w:vMerge/>
          </w:tcPr>
          <w:p w14:paraId="5F8D844E" w14:textId="77777777" w:rsidR="00611A4D" w:rsidRDefault="00611A4D" w:rsidP="009A763F"/>
        </w:tc>
        <w:tc>
          <w:tcPr>
            <w:tcW w:w="4590" w:type="dxa"/>
            <w:vMerge/>
          </w:tcPr>
          <w:p w14:paraId="53198F2F" w14:textId="77777777" w:rsidR="00611A4D" w:rsidRDefault="00611A4D" w:rsidP="009A763F"/>
        </w:tc>
        <w:tc>
          <w:tcPr>
            <w:tcW w:w="1885" w:type="dxa"/>
          </w:tcPr>
          <w:p w14:paraId="1696D8AA" w14:textId="77777777" w:rsidR="00611A4D" w:rsidRDefault="00611A4D" w:rsidP="009A763F">
            <w:proofErr w:type="spellStart"/>
            <w:r>
              <w:t>Meedhoo</w:t>
            </w:r>
            <w:proofErr w:type="spellEnd"/>
          </w:p>
        </w:tc>
      </w:tr>
      <w:tr w:rsidR="00611A4D" w14:paraId="0C9C4DB5" w14:textId="77777777" w:rsidTr="009A763F">
        <w:tc>
          <w:tcPr>
            <w:tcW w:w="2875" w:type="dxa"/>
            <w:vMerge/>
          </w:tcPr>
          <w:p w14:paraId="6801F881" w14:textId="77777777" w:rsidR="00611A4D" w:rsidRDefault="00611A4D" w:rsidP="009A763F"/>
        </w:tc>
        <w:tc>
          <w:tcPr>
            <w:tcW w:w="4590" w:type="dxa"/>
            <w:vMerge w:val="restart"/>
            <w:vAlign w:val="center"/>
          </w:tcPr>
          <w:p w14:paraId="2EA76533" w14:textId="77777777" w:rsidR="00611A4D" w:rsidRDefault="00611A4D" w:rsidP="009A763F">
            <w:r>
              <w:t>High Speed Internet</w:t>
            </w:r>
          </w:p>
        </w:tc>
        <w:tc>
          <w:tcPr>
            <w:tcW w:w="1885" w:type="dxa"/>
          </w:tcPr>
          <w:p w14:paraId="66E2246D" w14:textId="77777777" w:rsidR="00611A4D" w:rsidRDefault="00611A4D" w:rsidP="009A763F">
            <w:proofErr w:type="spellStart"/>
            <w:r>
              <w:t>Hithadhoo</w:t>
            </w:r>
            <w:proofErr w:type="spellEnd"/>
          </w:p>
        </w:tc>
      </w:tr>
      <w:tr w:rsidR="00611A4D" w14:paraId="7D1CAEAF" w14:textId="77777777" w:rsidTr="009A763F">
        <w:tc>
          <w:tcPr>
            <w:tcW w:w="2875" w:type="dxa"/>
            <w:vMerge/>
          </w:tcPr>
          <w:p w14:paraId="635DBFA4" w14:textId="77777777" w:rsidR="00611A4D" w:rsidRDefault="00611A4D" w:rsidP="009A763F"/>
        </w:tc>
        <w:tc>
          <w:tcPr>
            <w:tcW w:w="4590" w:type="dxa"/>
            <w:vMerge/>
          </w:tcPr>
          <w:p w14:paraId="1E8DDAD6" w14:textId="77777777" w:rsidR="00611A4D" w:rsidRDefault="00611A4D" w:rsidP="009A763F"/>
        </w:tc>
        <w:tc>
          <w:tcPr>
            <w:tcW w:w="1885" w:type="dxa"/>
          </w:tcPr>
          <w:p w14:paraId="4310F891" w14:textId="77777777" w:rsidR="00611A4D" w:rsidRDefault="00611A4D" w:rsidP="009A763F">
            <w:proofErr w:type="spellStart"/>
            <w:r>
              <w:t>Feydhoo</w:t>
            </w:r>
            <w:proofErr w:type="spellEnd"/>
          </w:p>
        </w:tc>
      </w:tr>
      <w:tr w:rsidR="00611A4D" w14:paraId="2F25120E" w14:textId="77777777" w:rsidTr="009A763F">
        <w:tc>
          <w:tcPr>
            <w:tcW w:w="2875" w:type="dxa"/>
            <w:vMerge/>
          </w:tcPr>
          <w:p w14:paraId="506671E0" w14:textId="77777777" w:rsidR="00611A4D" w:rsidRDefault="00611A4D" w:rsidP="009A763F"/>
        </w:tc>
        <w:tc>
          <w:tcPr>
            <w:tcW w:w="4590" w:type="dxa"/>
            <w:vMerge/>
          </w:tcPr>
          <w:p w14:paraId="052B736C" w14:textId="77777777" w:rsidR="00611A4D" w:rsidRDefault="00611A4D" w:rsidP="009A763F"/>
        </w:tc>
        <w:tc>
          <w:tcPr>
            <w:tcW w:w="1885" w:type="dxa"/>
          </w:tcPr>
          <w:p w14:paraId="6EF7AFED" w14:textId="77777777" w:rsidR="00611A4D" w:rsidRDefault="00611A4D" w:rsidP="009A763F">
            <w:proofErr w:type="spellStart"/>
            <w:r>
              <w:t>Maradhoo</w:t>
            </w:r>
            <w:proofErr w:type="spellEnd"/>
          </w:p>
        </w:tc>
      </w:tr>
      <w:tr w:rsidR="00611A4D" w14:paraId="056DBC03" w14:textId="77777777" w:rsidTr="009A763F">
        <w:tc>
          <w:tcPr>
            <w:tcW w:w="2875" w:type="dxa"/>
            <w:vMerge/>
          </w:tcPr>
          <w:p w14:paraId="3C327FC6" w14:textId="77777777" w:rsidR="00611A4D" w:rsidRDefault="00611A4D" w:rsidP="009A763F"/>
        </w:tc>
        <w:tc>
          <w:tcPr>
            <w:tcW w:w="4590" w:type="dxa"/>
            <w:vMerge/>
          </w:tcPr>
          <w:p w14:paraId="785C9CDA" w14:textId="77777777" w:rsidR="00611A4D" w:rsidRDefault="00611A4D" w:rsidP="009A763F"/>
        </w:tc>
        <w:tc>
          <w:tcPr>
            <w:tcW w:w="1885" w:type="dxa"/>
          </w:tcPr>
          <w:p w14:paraId="13FA53CE" w14:textId="77777777" w:rsidR="00611A4D" w:rsidRDefault="00611A4D" w:rsidP="009A763F">
            <w:proofErr w:type="spellStart"/>
            <w:r>
              <w:t>Maradhoo</w:t>
            </w:r>
            <w:proofErr w:type="spellEnd"/>
            <w:r>
              <w:t xml:space="preserve"> </w:t>
            </w:r>
            <w:proofErr w:type="spellStart"/>
            <w:r>
              <w:t>Feydhoo</w:t>
            </w:r>
            <w:proofErr w:type="spellEnd"/>
          </w:p>
        </w:tc>
      </w:tr>
      <w:tr w:rsidR="00611A4D" w14:paraId="7516124B" w14:textId="77777777" w:rsidTr="009A763F">
        <w:tc>
          <w:tcPr>
            <w:tcW w:w="2875" w:type="dxa"/>
            <w:vMerge/>
          </w:tcPr>
          <w:p w14:paraId="5DD27F14" w14:textId="77777777" w:rsidR="00611A4D" w:rsidRDefault="00611A4D" w:rsidP="009A763F"/>
        </w:tc>
        <w:tc>
          <w:tcPr>
            <w:tcW w:w="4590" w:type="dxa"/>
            <w:vMerge/>
          </w:tcPr>
          <w:p w14:paraId="6F6200BF" w14:textId="77777777" w:rsidR="00611A4D" w:rsidRDefault="00611A4D" w:rsidP="009A763F"/>
        </w:tc>
        <w:tc>
          <w:tcPr>
            <w:tcW w:w="1885" w:type="dxa"/>
          </w:tcPr>
          <w:p w14:paraId="1DC3A177" w14:textId="77777777" w:rsidR="00611A4D" w:rsidRDefault="00611A4D" w:rsidP="009A763F">
            <w:proofErr w:type="spellStart"/>
            <w:r>
              <w:t>Hulhudhoo</w:t>
            </w:r>
            <w:proofErr w:type="spellEnd"/>
          </w:p>
        </w:tc>
      </w:tr>
      <w:tr w:rsidR="00611A4D" w14:paraId="52D7D41C" w14:textId="77777777" w:rsidTr="009A763F">
        <w:tc>
          <w:tcPr>
            <w:tcW w:w="2875" w:type="dxa"/>
            <w:vMerge/>
          </w:tcPr>
          <w:p w14:paraId="6AC8ACB2" w14:textId="77777777" w:rsidR="00611A4D" w:rsidRDefault="00611A4D" w:rsidP="009A763F"/>
        </w:tc>
        <w:tc>
          <w:tcPr>
            <w:tcW w:w="4590" w:type="dxa"/>
            <w:vMerge/>
          </w:tcPr>
          <w:p w14:paraId="2F9626C5" w14:textId="77777777" w:rsidR="00611A4D" w:rsidRDefault="00611A4D" w:rsidP="009A763F"/>
        </w:tc>
        <w:tc>
          <w:tcPr>
            <w:tcW w:w="1885" w:type="dxa"/>
          </w:tcPr>
          <w:p w14:paraId="2E5A2205" w14:textId="77777777" w:rsidR="00611A4D" w:rsidRDefault="00611A4D" w:rsidP="009A763F">
            <w:proofErr w:type="spellStart"/>
            <w:r>
              <w:t>Meedhoo</w:t>
            </w:r>
            <w:proofErr w:type="spellEnd"/>
          </w:p>
        </w:tc>
      </w:tr>
      <w:tr w:rsidR="00611A4D" w14:paraId="4828A482" w14:textId="77777777" w:rsidTr="009A763F">
        <w:tc>
          <w:tcPr>
            <w:tcW w:w="2875" w:type="dxa"/>
            <w:vMerge/>
          </w:tcPr>
          <w:p w14:paraId="3CF11C26" w14:textId="77777777" w:rsidR="00611A4D" w:rsidRDefault="00611A4D" w:rsidP="009A763F"/>
        </w:tc>
        <w:tc>
          <w:tcPr>
            <w:tcW w:w="4590" w:type="dxa"/>
          </w:tcPr>
          <w:p w14:paraId="08D1BFD1" w14:textId="77777777" w:rsidR="00611A4D" w:rsidRDefault="00611A4D" w:rsidP="009A763F">
            <w:r>
              <w:t>Regional Technology Park</w:t>
            </w:r>
          </w:p>
        </w:tc>
        <w:tc>
          <w:tcPr>
            <w:tcW w:w="1885" w:type="dxa"/>
          </w:tcPr>
          <w:p w14:paraId="71B85884" w14:textId="77777777" w:rsidR="00611A4D" w:rsidRDefault="00611A4D" w:rsidP="009A763F">
            <w:proofErr w:type="spellStart"/>
            <w:r>
              <w:t>Feydhoo</w:t>
            </w:r>
            <w:proofErr w:type="spellEnd"/>
          </w:p>
        </w:tc>
      </w:tr>
      <w:tr w:rsidR="00611A4D" w14:paraId="40AB789A" w14:textId="77777777" w:rsidTr="009A763F">
        <w:tc>
          <w:tcPr>
            <w:tcW w:w="2875" w:type="dxa"/>
            <w:vMerge w:val="restart"/>
            <w:vAlign w:val="center"/>
          </w:tcPr>
          <w:p w14:paraId="5A3BE013" w14:textId="77777777" w:rsidR="00611A4D" w:rsidRDefault="00611A4D" w:rsidP="009A763F">
            <w:r>
              <w:t>Essential Goods Storage</w:t>
            </w:r>
          </w:p>
        </w:tc>
        <w:tc>
          <w:tcPr>
            <w:tcW w:w="4590" w:type="dxa"/>
          </w:tcPr>
          <w:p w14:paraId="4610125E" w14:textId="77777777" w:rsidR="00611A4D" w:rsidRDefault="00611A4D" w:rsidP="009A763F">
            <w:r>
              <w:t>Fuel Reserve</w:t>
            </w:r>
          </w:p>
        </w:tc>
        <w:tc>
          <w:tcPr>
            <w:tcW w:w="1885" w:type="dxa"/>
          </w:tcPr>
          <w:p w14:paraId="719D7557" w14:textId="77777777" w:rsidR="00611A4D" w:rsidRDefault="00611A4D" w:rsidP="009A763F">
            <w:proofErr w:type="spellStart"/>
            <w:r>
              <w:t>Gan</w:t>
            </w:r>
            <w:proofErr w:type="spellEnd"/>
          </w:p>
        </w:tc>
      </w:tr>
      <w:tr w:rsidR="00611A4D" w14:paraId="4FED7C07" w14:textId="77777777" w:rsidTr="009A763F">
        <w:tc>
          <w:tcPr>
            <w:tcW w:w="2875" w:type="dxa"/>
            <w:vMerge/>
          </w:tcPr>
          <w:p w14:paraId="0D3E784D" w14:textId="77777777" w:rsidR="00611A4D" w:rsidRDefault="00611A4D" w:rsidP="009A763F"/>
        </w:tc>
        <w:tc>
          <w:tcPr>
            <w:tcW w:w="4590" w:type="dxa"/>
          </w:tcPr>
          <w:p w14:paraId="3099D8F9" w14:textId="77777777" w:rsidR="00611A4D" w:rsidRDefault="00611A4D" w:rsidP="009A763F">
            <w:r>
              <w:t>Water Reserve</w:t>
            </w:r>
          </w:p>
        </w:tc>
        <w:tc>
          <w:tcPr>
            <w:tcW w:w="1885" w:type="dxa"/>
          </w:tcPr>
          <w:p w14:paraId="19258860" w14:textId="77777777" w:rsidR="00611A4D" w:rsidRDefault="00611A4D" w:rsidP="009A763F">
            <w:proofErr w:type="spellStart"/>
            <w:r>
              <w:t>Hithadhoo</w:t>
            </w:r>
            <w:proofErr w:type="spellEnd"/>
          </w:p>
        </w:tc>
      </w:tr>
      <w:tr w:rsidR="00611A4D" w14:paraId="09D497BD" w14:textId="77777777" w:rsidTr="009A763F">
        <w:tc>
          <w:tcPr>
            <w:tcW w:w="2875" w:type="dxa"/>
            <w:vMerge/>
          </w:tcPr>
          <w:p w14:paraId="64BBF860" w14:textId="77777777" w:rsidR="00611A4D" w:rsidRDefault="00611A4D" w:rsidP="009A763F"/>
        </w:tc>
        <w:tc>
          <w:tcPr>
            <w:tcW w:w="4590" w:type="dxa"/>
          </w:tcPr>
          <w:p w14:paraId="1A3460EE" w14:textId="77777777" w:rsidR="00611A4D" w:rsidRDefault="00611A4D" w:rsidP="009A763F">
            <w:r>
              <w:t>Construction Warehouse</w:t>
            </w:r>
          </w:p>
        </w:tc>
        <w:tc>
          <w:tcPr>
            <w:tcW w:w="1885" w:type="dxa"/>
          </w:tcPr>
          <w:p w14:paraId="66774D12" w14:textId="77777777" w:rsidR="00611A4D" w:rsidRDefault="00611A4D" w:rsidP="009A763F">
            <w:proofErr w:type="spellStart"/>
            <w:r>
              <w:t>Hithadhoo</w:t>
            </w:r>
            <w:proofErr w:type="spellEnd"/>
          </w:p>
        </w:tc>
      </w:tr>
      <w:tr w:rsidR="00611A4D" w14:paraId="750D574A" w14:textId="77777777" w:rsidTr="009A763F">
        <w:tc>
          <w:tcPr>
            <w:tcW w:w="2875" w:type="dxa"/>
          </w:tcPr>
          <w:p w14:paraId="3BCDEC3A" w14:textId="77777777" w:rsidR="00611A4D" w:rsidRDefault="00611A4D" w:rsidP="009A763F">
            <w:r>
              <w:lastRenderedPageBreak/>
              <w:t>Sports and Recreation</w:t>
            </w:r>
          </w:p>
        </w:tc>
        <w:tc>
          <w:tcPr>
            <w:tcW w:w="4590" w:type="dxa"/>
          </w:tcPr>
          <w:p w14:paraId="65EC3A3F" w14:textId="77777777" w:rsidR="00611A4D" w:rsidRDefault="00611A4D" w:rsidP="009A763F">
            <w:r>
              <w:t>Regional Sports Complex</w:t>
            </w:r>
          </w:p>
        </w:tc>
        <w:tc>
          <w:tcPr>
            <w:tcW w:w="1885" w:type="dxa"/>
          </w:tcPr>
          <w:p w14:paraId="3283602C" w14:textId="77777777" w:rsidR="00611A4D" w:rsidRDefault="00611A4D" w:rsidP="009A763F">
            <w:proofErr w:type="spellStart"/>
            <w:r>
              <w:t>Hithadhoo</w:t>
            </w:r>
            <w:proofErr w:type="spellEnd"/>
          </w:p>
        </w:tc>
      </w:tr>
      <w:tr w:rsidR="00611A4D" w14:paraId="4A23D4C9" w14:textId="77777777" w:rsidTr="009A763F">
        <w:tc>
          <w:tcPr>
            <w:tcW w:w="2875" w:type="dxa"/>
            <w:vMerge w:val="restart"/>
            <w:vAlign w:val="center"/>
          </w:tcPr>
          <w:p w14:paraId="1BDAB3E3" w14:textId="77777777" w:rsidR="00611A4D" w:rsidRDefault="00611A4D" w:rsidP="009A763F">
            <w:r>
              <w:t>SME</w:t>
            </w:r>
          </w:p>
        </w:tc>
        <w:tc>
          <w:tcPr>
            <w:tcW w:w="4590" w:type="dxa"/>
          </w:tcPr>
          <w:p w14:paraId="3033C4A3" w14:textId="77777777" w:rsidR="00611A4D" w:rsidRDefault="00611A4D" w:rsidP="009A763F">
            <w:r>
              <w:t>Regional Business Development Services Center</w:t>
            </w:r>
          </w:p>
        </w:tc>
        <w:tc>
          <w:tcPr>
            <w:tcW w:w="1885" w:type="dxa"/>
          </w:tcPr>
          <w:p w14:paraId="4D0B6B65" w14:textId="77777777" w:rsidR="00611A4D" w:rsidRDefault="00611A4D" w:rsidP="009A763F">
            <w:proofErr w:type="spellStart"/>
            <w:r>
              <w:t>Feydhoo</w:t>
            </w:r>
            <w:proofErr w:type="spellEnd"/>
          </w:p>
        </w:tc>
      </w:tr>
      <w:tr w:rsidR="00611A4D" w14:paraId="35628985" w14:textId="77777777" w:rsidTr="009A763F">
        <w:tc>
          <w:tcPr>
            <w:tcW w:w="2875" w:type="dxa"/>
            <w:vMerge/>
          </w:tcPr>
          <w:p w14:paraId="5BA70DB7" w14:textId="77777777" w:rsidR="00611A4D" w:rsidRDefault="00611A4D" w:rsidP="009A763F"/>
        </w:tc>
        <w:tc>
          <w:tcPr>
            <w:tcW w:w="4590" w:type="dxa"/>
          </w:tcPr>
          <w:p w14:paraId="32C6187F" w14:textId="77777777" w:rsidR="00611A4D" w:rsidRDefault="00611A4D" w:rsidP="009A763F">
            <w:proofErr w:type="spellStart"/>
            <w:r>
              <w:t>Sarahahdhee</w:t>
            </w:r>
            <w:proofErr w:type="spellEnd"/>
            <w:r>
              <w:t xml:space="preserve"> Bazaar</w:t>
            </w:r>
          </w:p>
        </w:tc>
        <w:tc>
          <w:tcPr>
            <w:tcW w:w="1885" w:type="dxa"/>
          </w:tcPr>
          <w:p w14:paraId="74A69301" w14:textId="77777777" w:rsidR="00611A4D" w:rsidRDefault="00611A4D" w:rsidP="009A763F">
            <w:proofErr w:type="spellStart"/>
            <w:r>
              <w:t>Hithadhoo</w:t>
            </w:r>
            <w:proofErr w:type="spellEnd"/>
          </w:p>
        </w:tc>
      </w:tr>
      <w:tr w:rsidR="00611A4D" w14:paraId="0CBE1B5B" w14:textId="77777777" w:rsidTr="009A763F">
        <w:tc>
          <w:tcPr>
            <w:tcW w:w="2875" w:type="dxa"/>
            <w:vMerge w:val="restart"/>
            <w:vAlign w:val="center"/>
          </w:tcPr>
          <w:p w14:paraId="20428C69" w14:textId="77777777" w:rsidR="00611A4D" w:rsidRDefault="00611A4D" w:rsidP="009A763F">
            <w:r>
              <w:t>Nature</w:t>
            </w:r>
          </w:p>
        </w:tc>
        <w:tc>
          <w:tcPr>
            <w:tcW w:w="4590" w:type="dxa"/>
            <w:vMerge w:val="restart"/>
            <w:vAlign w:val="center"/>
          </w:tcPr>
          <w:p w14:paraId="34114A7F" w14:textId="77777777" w:rsidR="00611A4D" w:rsidRDefault="00611A4D" w:rsidP="009A763F">
            <w:r>
              <w:t>Conservation Office</w:t>
            </w:r>
          </w:p>
        </w:tc>
        <w:tc>
          <w:tcPr>
            <w:tcW w:w="1885" w:type="dxa"/>
          </w:tcPr>
          <w:p w14:paraId="1663C660" w14:textId="77777777" w:rsidR="00611A4D" w:rsidRDefault="00611A4D" w:rsidP="009A763F">
            <w:proofErr w:type="spellStart"/>
            <w:r>
              <w:t>Hithadhoo</w:t>
            </w:r>
            <w:proofErr w:type="spellEnd"/>
          </w:p>
        </w:tc>
      </w:tr>
      <w:tr w:rsidR="00611A4D" w14:paraId="16585875" w14:textId="77777777" w:rsidTr="009A763F">
        <w:tc>
          <w:tcPr>
            <w:tcW w:w="2875" w:type="dxa"/>
            <w:vMerge/>
          </w:tcPr>
          <w:p w14:paraId="742C3AA9" w14:textId="77777777" w:rsidR="00611A4D" w:rsidRDefault="00611A4D" w:rsidP="009A763F"/>
        </w:tc>
        <w:tc>
          <w:tcPr>
            <w:tcW w:w="4590" w:type="dxa"/>
            <w:vMerge/>
          </w:tcPr>
          <w:p w14:paraId="5FD365F8" w14:textId="77777777" w:rsidR="00611A4D" w:rsidRDefault="00611A4D" w:rsidP="009A763F"/>
        </w:tc>
        <w:tc>
          <w:tcPr>
            <w:tcW w:w="1885" w:type="dxa"/>
          </w:tcPr>
          <w:p w14:paraId="4BFBCF9B" w14:textId="77777777" w:rsidR="00611A4D" w:rsidRDefault="00611A4D" w:rsidP="009A763F">
            <w:proofErr w:type="spellStart"/>
            <w:r>
              <w:t>Meedhoo</w:t>
            </w:r>
            <w:proofErr w:type="spellEnd"/>
          </w:p>
        </w:tc>
      </w:tr>
      <w:tr w:rsidR="00611A4D" w14:paraId="65E904F5" w14:textId="77777777" w:rsidTr="009A763F">
        <w:tc>
          <w:tcPr>
            <w:tcW w:w="2875" w:type="dxa"/>
          </w:tcPr>
          <w:p w14:paraId="5646509A" w14:textId="77777777" w:rsidR="00611A4D" w:rsidRDefault="00611A4D" w:rsidP="009A763F">
            <w:r>
              <w:t>Islamic Affairs &amp; Scientific Research</w:t>
            </w:r>
          </w:p>
        </w:tc>
        <w:tc>
          <w:tcPr>
            <w:tcW w:w="4590" w:type="dxa"/>
          </w:tcPr>
          <w:p w14:paraId="628F0473" w14:textId="77777777" w:rsidR="00611A4D" w:rsidRDefault="00611A4D" w:rsidP="009A763F">
            <w:r>
              <w:t>House of Wisdom (Bayt Al-</w:t>
            </w:r>
            <w:proofErr w:type="spellStart"/>
            <w:r>
              <w:t>Hikma</w:t>
            </w:r>
            <w:proofErr w:type="spellEnd"/>
            <w:r>
              <w:t>) – Public academy and intellectual center</w:t>
            </w:r>
          </w:p>
        </w:tc>
        <w:tc>
          <w:tcPr>
            <w:tcW w:w="1885" w:type="dxa"/>
          </w:tcPr>
          <w:p w14:paraId="23AAAE2F" w14:textId="77777777" w:rsidR="00611A4D" w:rsidRDefault="00611A4D" w:rsidP="009A763F">
            <w:proofErr w:type="spellStart"/>
            <w:r>
              <w:t>Hithadhoo</w:t>
            </w:r>
            <w:proofErr w:type="spellEnd"/>
          </w:p>
        </w:tc>
      </w:tr>
      <w:tr w:rsidR="00611A4D" w14:paraId="49A0EE9F" w14:textId="77777777" w:rsidTr="009A763F">
        <w:tc>
          <w:tcPr>
            <w:tcW w:w="2875" w:type="dxa"/>
          </w:tcPr>
          <w:p w14:paraId="37701A93" w14:textId="77777777" w:rsidR="00611A4D" w:rsidRDefault="00611A4D" w:rsidP="009A763F">
            <w:r>
              <w:t>Community Empowerment</w:t>
            </w:r>
          </w:p>
        </w:tc>
        <w:tc>
          <w:tcPr>
            <w:tcW w:w="4590" w:type="dxa"/>
          </w:tcPr>
          <w:p w14:paraId="62B83EA2" w14:textId="77777777" w:rsidR="00611A4D" w:rsidRDefault="00611A4D" w:rsidP="009A763F">
            <w:r>
              <w:t>Educational Camp Facility</w:t>
            </w:r>
          </w:p>
        </w:tc>
        <w:tc>
          <w:tcPr>
            <w:tcW w:w="1885" w:type="dxa"/>
          </w:tcPr>
          <w:p w14:paraId="5147C6C2" w14:textId="77777777" w:rsidR="00611A4D" w:rsidRDefault="00611A4D" w:rsidP="009A763F">
            <w:proofErr w:type="spellStart"/>
            <w:r>
              <w:t>Hulhudhoo</w:t>
            </w:r>
            <w:proofErr w:type="spellEnd"/>
          </w:p>
        </w:tc>
      </w:tr>
      <w:tr w:rsidR="00611A4D" w14:paraId="03611ED4" w14:textId="77777777" w:rsidTr="009A763F">
        <w:tc>
          <w:tcPr>
            <w:tcW w:w="2875" w:type="dxa"/>
          </w:tcPr>
          <w:p w14:paraId="3DEF240D" w14:textId="77777777" w:rsidR="00611A4D" w:rsidRDefault="00611A4D" w:rsidP="009A763F">
            <w:r>
              <w:t>Arts Heritage &amp; Culture</w:t>
            </w:r>
          </w:p>
        </w:tc>
        <w:tc>
          <w:tcPr>
            <w:tcW w:w="4590" w:type="dxa"/>
          </w:tcPr>
          <w:p w14:paraId="1A46DBD8" w14:textId="77777777" w:rsidR="00611A4D" w:rsidRDefault="00611A4D" w:rsidP="009A763F">
            <w:r>
              <w:t>Regional Library (Public)</w:t>
            </w:r>
          </w:p>
        </w:tc>
        <w:tc>
          <w:tcPr>
            <w:tcW w:w="1885" w:type="dxa"/>
          </w:tcPr>
          <w:p w14:paraId="2B6CAE22" w14:textId="77777777" w:rsidR="00611A4D" w:rsidRDefault="00611A4D" w:rsidP="009A763F">
            <w:proofErr w:type="spellStart"/>
            <w:r>
              <w:t>Hithadhoo</w:t>
            </w:r>
            <w:proofErr w:type="spellEnd"/>
          </w:p>
        </w:tc>
      </w:tr>
      <w:tr w:rsidR="00611A4D" w14:paraId="73E8AC93" w14:textId="77777777" w:rsidTr="009A763F">
        <w:tc>
          <w:tcPr>
            <w:tcW w:w="2875" w:type="dxa"/>
          </w:tcPr>
          <w:p w14:paraId="3FE861A4" w14:textId="77777777" w:rsidR="00611A4D" w:rsidRDefault="00611A4D" w:rsidP="009A763F">
            <w:r>
              <w:t>Community</w:t>
            </w:r>
          </w:p>
        </w:tc>
        <w:tc>
          <w:tcPr>
            <w:tcW w:w="4590" w:type="dxa"/>
          </w:tcPr>
          <w:p w14:paraId="50F69403" w14:textId="77777777" w:rsidR="00611A4D" w:rsidRDefault="00611A4D" w:rsidP="009A763F">
            <w:r>
              <w:t>Mortuary</w:t>
            </w:r>
          </w:p>
        </w:tc>
        <w:tc>
          <w:tcPr>
            <w:tcW w:w="1885" w:type="dxa"/>
          </w:tcPr>
          <w:p w14:paraId="1E992337" w14:textId="77777777" w:rsidR="00611A4D" w:rsidRDefault="00611A4D" w:rsidP="009A763F">
            <w:proofErr w:type="spellStart"/>
            <w:r>
              <w:t>Hithadhoo</w:t>
            </w:r>
            <w:proofErr w:type="spellEnd"/>
          </w:p>
        </w:tc>
      </w:tr>
    </w:tbl>
    <w:p w14:paraId="771607D5" w14:textId="77777777" w:rsidR="00611A4D" w:rsidRDefault="00611A4D" w:rsidP="00611A4D">
      <w:pPr>
        <w:rPr>
          <w:rFonts w:ascii="Times New Roman" w:hAnsi="Times New Roman" w:cs="Times New Roman"/>
          <w:b/>
        </w:rPr>
        <w:sectPr w:rsidR="00611A4D">
          <w:pgSz w:w="12240" w:h="15840"/>
          <w:pgMar w:top="1440" w:right="1440" w:bottom="1440" w:left="1440" w:header="720" w:footer="720" w:gutter="0"/>
          <w:cols w:space="720"/>
          <w:docGrid w:linePitch="360"/>
        </w:sectPr>
      </w:pPr>
    </w:p>
    <w:p w14:paraId="233779E1" w14:textId="77777777" w:rsidR="00611A4D" w:rsidRDefault="00611A4D" w:rsidP="00611A4D">
      <w:pPr>
        <w:jc w:val="center"/>
        <w:rPr>
          <w:rFonts w:ascii="Times New Roman" w:hAnsi="Times New Roman" w:cs="Times New Roman"/>
          <w:b/>
        </w:rPr>
      </w:pPr>
      <w:r>
        <w:rPr>
          <w:rFonts w:ascii="Times New Roman" w:hAnsi="Times New Roman" w:cs="Times New Roman"/>
          <w:b/>
        </w:rPr>
        <w:lastRenderedPageBreak/>
        <w:t>ANNEX 2:  NATIONAL SPATIAL PLAN (2020-2040) REGIONAL CENTERS</w:t>
      </w:r>
    </w:p>
    <w:p w14:paraId="224B7E30" w14:textId="77777777" w:rsidR="00611A4D" w:rsidRDefault="00611A4D" w:rsidP="00611A4D">
      <w:pPr>
        <w:jc w:val="center"/>
        <w:rPr>
          <w:rFonts w:ascii="Times New Roman" w:hAnsi="Times New Roman" w:cs="Times New Roman"/>
          <w:b/>
        </w:rPr>
      </w:pPr>
    </w:p>
    <w:p w14:paraId="4534BBEC" w14:textId="77777777" w:rsidR="00611A4D" w:rsidRDefault="00611A4D" w:rsidP="00611A4D">
      <w:pPr>
        <w:jc w:val="center"/>
        <w:rPr>
          <w:rFonts w:ascii="Times New Roman" w:hAnsi="Times New Roman" w:cs="Times New Roman"/>
          <w:b/>
        </w:rPr>
      </w:pPr>
      <w:r>
        <w:rPr>
          <w:rFonts w:ascii="Times New Roman" w:hAnsi="Times New Roman" w:cs="Times New Roman"/>
          <w:b/>
          <w:noProof/>
        </w:rPr>
        <w:drawing>
          <wp:inline distT="0" distB="0" distL="0" distR="0" wp14:anchorId="3E188C05" wp14:editId="4EC06D43">
            <wp:extent cx="5098386" cy="721265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 of NSP Regions_121020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98386" cy="7212650"/>
                    </a:xfrm>
                    <a:prstGeom prst="rect">
                      <a:avLst/>
                    </a:prstGeom>
                  </pic:spPr>
                </pic:pic>
              </a:graphicData>
            </a:graphic>
          </wp:inline>
        </w:drawing>
      </w:r>
    </w:p>
    <w:sectPr w:rsidR="00611A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49A82" w14:textId="77777777" w:rsidR="003A00BC" w:rsidRDefault="003A00BC" w:rsidP="00611A4D">
      <w:pPr>
        <w:spacing w:after="0" w:line="240" w:lineRule="auto"/>
      </w:pPr>
      <w:r>
        <w:separator/>
      </w:r>
    </w:p>
  </w:endnote>
  <w:endnote w:type="continuationSeparator" w:id="0">
    <w:p w14:paraId="07199D29" w14:textId="77777777" w:rsidR="003A00BC" w:rsidRDefault="003A00BC" w:rsidP="0061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450516438"/>
      <w:docPartObj>
        <w:docPartGallery w:val="Page Numbers (Bottom of Page)"/>
        <w:docPartUnique/>
      </w:docPartObj>
    </w:sdtPr>
    <w:sdtEndPr>
      <w:rPr>
        <w:noProof/>
        <w:sz w:val="22"/>
      </w:rPr>
    </w:sdtEndPr>
    <w:sdtContent>
      <w:p w14:paraId="268B1435" w14:textId="27A7A907" w:rsidR="00611A4D" w:rsidRPr="00923E98" w:rsidRDefault="00923E98" w:rsidP="00923E98">
        <w:pPr>
          <w:pBdr>
            <w:top w:val="single" w:sz="4" w:space="1" w:color="auto"/>
          </w:pBdr>
          <w:spacing w:line="240" w:lineRule="auto"/>
          <w:rPr>
            <w:sz w:val="14"/>
          </w:rPr>
        </w:pPr>
        <w:r w:rsidRPr="00923E98">
          <w:rPr>
            <w:sz w:val="16"/>
          </w:rPr>
          <w:t xml:space="preserve">TOR- CONSULTANCY FOR THE ASSESSMENT OF THE NATIONAL SPATIAL PLAN AND DEVELOPMENT OF LOCAL </w:t>
        </w:r>
        <w:r w:rsidRPr="00923E98">
          <w:rPr>
            <w:sz w:val="18"/>
          </w:rPr>
          <w:t xml:space="preserve">DEVELOPMENT </w:t>
        </w:r>
        <w:r w:rsidRPr="00923E98">
          <w:rPr>
            <w:sz w:val="16"/>
          </w:rPr>
          <w:t xml:space="preserve">PLANS </w:t>
        </w:r>
        <w:r>
          <w:rPr>
            <w:sz w:val="16"/>
          </w:rPr>
          <w:t xml:space="preserve">              </w:t>
        </w:r>
        <w:r>
          <w:t xml:space="preserve"> </w:t>
        </w:r>
        <w:r>
          <w:fldChar w:fldCharType="begin"/>
        </w:r>
        <w:r>
          <w:instrText xml:space="preserve"> PAGE   \* MERGEFORMAT </w:instrText>
        </w:r>
        <w:r>
          <w:fldChar w:fldCharType="separate"/>
        </w:r>
        <w:r w:rsidR="00D74C94">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067E3" w14:textId="77777777" w:rsidR="003A00BC" w:rsidRDefault="003A00BC" w:rsidP="00611A4D">
      <w:pPr>
        <w:spacing w:after="0" w:line="240" w:lineRule="auto"/>
      </w:pPr>
      <w:r>
        <w:separator/>
      </w:r>
    </w:p>
  </w:footnote>
  <w:footnote w:type="continuationSeparator" w:id="0">
    <w:p w14:paraId="6A66C3BA" w14:textId="77777777" w:rsidR="003A00BC" w:rsidRDefault="003A00BC" w:rsidP="00611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593A"/>
    <w:multiLevelType w:val="hybridMultilevel"/>
    <w:tmpl w:val="314EF0E0"/>
    <w:lvl w:ilvl="0" w:tplc="08D4F41E">
      <w:start w:val="1"/>
      <w:numFmt w:val="decimal"/>
      <w:pStyle w:val="Paragraph"/>
      <w:lvlText w:val="%1."/>
      <w:lvlJc w:val="left"/>
      <w:pPr>
        <w:tabs>
          <w:tab w:val="num" w:pos="360"/>
        </w:tabs>
        <w:ind w:left="0" w:firstLine="0"/>
      </w:pPr>
      <w:rPr>
        <w:rFonts w:hint="default"/>
      </w:rPr>
    </w:lvl>
    <w:lvl w:ilvl="1" w:tplc="04090019">
      <w:start w:val="1"/>
      <w:numFmt w:val="lowerLetter"/>
      <w:lvlText w:val="%2."/>
      <w:lvlJc w:val="left"/>
      <w:pPr>
        <w:tabs>
          <w:tab w:val="num" w:pos="720"/>
        </w:tabs>
        <w:ind w:left="1080" w:firstLine="0"/>
      </w:pPr>
      <w:rPr>
        <w:rFonts w:hint="default"/>
      </w:rPr>
    </w:lvl>
    <w:lvl w:ilvl="2" w:tplc="73C4CA50">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CE0C38"/>
    <w:multiLevelType w:val="hybridMultilevel"/>
    <w:tmpl w:val="C948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C3141"/>
    <w:multiLevelType w:val="hybridMultilevel"/>
    <w:tmpl w:val="758A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95B27"/>
    <w:multiLevelType w:val="hybridMultilevel"/>
    <w:tmpl w:val="64AA3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DC6364"/>
    <w:multiLevelType w:val="hybridMultilevel"/>
    <w:tmpl w:val="6F5C8C1A"/>
    <w:lvl w:ilvl="0" w:tplc="4950DCE4">
      <w:start w:val="1"/>
      <w:numFmt w:val="lowerRoman"/>
      <w:lvlText w:val="%1."/>
      <w:lvlJc w:val="right"/>
      <w:pPr>
        <w:ind w:left="720" w:hanging="360"/>
      </w:pPr>
    </w:lvl>
    <w:lvl w:ilvl="1" w:tplc="BDD8973A" w:tentative="1">
      <w:start w:val="1"/>
      <w:numFmt w:val="lowerLetter"/>
      <w:lvlText w:val="%2."/>
      <w:lvlJc w:val="left"/>
      <w:pPr>
        <w:ind w:left="1440" w:hanging="360"/>
      </w:pPr>
    </w:lvl>
    <w:lvl w:ilvl="2" w:tplc="04090019">
      <w:start w:val="1"/>
      <w:numFmt w:val="lowerLetter"/>
      <w:lvlText w:val="%3."/>
      <w:lvlJc w:val="left"/>
      <w:pPr>
        <w:ind w:left="2160" w:hanging="180"/>
      </w:pPr>
      <w:rPr>
        <w:i w:val="0"/>
      </w:rPr>
    </w:lvl>
    <w:lvl w:ilvl="3" w:tplc="86249CCA" w:tentative="1">
      <w:start w:val="1"/>
      <w:numFmt w:val="decimal"/>
      <w:lvlText w:val="%4."/>
      <w:lvlJc w:val="left"/>
      <w:pPr>
        <w:ind w:left="2880" w:hanging="360"/>
      </w:pPr>
    </w:lvl>
    <w:lvl w:ilvl="4" w:tplc="59A46264" w:tentative="1">
      <w:start w:val="1"/>
      <w:numFmt w:val="lowerLetter"/>
      <w:lvlText w:val="%5."/>
      <w:lvlJc w:val="left"/>
      <w:pPr>
        <w:ind w:left="3600" w:hanging="360"/>
      </w:pPr>
    </w:lvl>
    <w:lvl w:ilvl="5" w:tplc="0BB21A66" w:tentative="1">
      <w:start w:val="1"/>
      <w:numFmt w:val="lowerRoman"/>
      <w:lvlText w:val="%6."/>
      <w:lvlJc w:val="right"/>
      <w:pPr>
        <w:ind w:left="4320" w:hanging="180"/>
      </w:pPr>
    </w:lvl>
    <w:lvl w:ilvl="6" w:tplc="1F7ADACA" w:tentative="1">
      <w:start w:val="1"/>
      <w:numFmt w:val="decimal"/>
      <w:lvlText w:val="%7."/>
      <w:lvlJc w:val="left"/>
      <w:pPr>
        <w:ind w:left="5040" w:hanging="360"/>
      </w:pPr>
    </w:lvl>
    <w:lvl w:ilvl="7" w:tplc="330A670E" w:tentative="1">
      <w:start w:val="1"/>
      <w:numFmt w:val="lowerLetter"/>
      <w:lvlText w:val="%8."/>
      <w:lvlJc w:val="left"/>
      <w:pPr>
        <w:ind w:left="5760" w:hanging="360"/>
      </w:pPr>
    </w:lvl>
    <w:lvl w:ilvl="8" w:tplc="EBBAFD5A" w:tentative="1">
      <w:start w:val="1"/>
      <w:numFmt w:val="lowerRoman"/>
      <w:lvlText w:val="%9."/>
      <w:lvlJc w:val="right"/>
      <w:pPr>
        <w:ind w:left="6480" w:hanging="180"/>
      </w:pPr>
    </w:lvl>
  </w:abstractNum>
  <w:abstractNum w:abstractNumId="5">
    <w:nsid w:val="113C4EDD"/>
    <w:multiLevelType w:val="hybridMultilevel"/>
    <w:tmpl w:val="83EC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507CE"/>
    <w:multiLevelType w:val="hybridMultilevel"/>
    <w:tmpl w:val="150CBD44"/>
    <w:lvl w:ilvl="0" w:tplc="04090019">
      <w:start w:val="1"/>
      <w:numFmt w:val="lowerLetter"/>
      <w:lvlText w:val="%1."/>
      <w:lvlJc w:val="left"/>
      <w:pPr>
        <w:ind w:left="2246"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E38AD"/>
    <w:multiLevelType w:val="hybridMultilevel"/>
    <w:tmpl w:val="165C31B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9C18EE"/>
    <w:multiLevelType w:val="hybridMultilevel"/>
    <w:tmpl w:val="3B8269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606F6"/>
    <w:multiLevelType w:val="hybridMultilevel"/>
    <w:tmpl w:val="5C163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5E0566"/>
    <w:multiLevelType w:val="hybridMultilevel"/>
    <w:tmpl w:val="D54ECE32"/>
    <w:lvl w:ilvl="0" w:tplc="04090015">
      <w:start w:val="1"/>
      <w:numFmt w:val="upperLetter"/>
      <w:lvlText w:val="%1."/>
      <w:lvlJc w:val="left"/>
      <w:pPr>
        <w:ind w:left="720" w:hanging="360"/>
      </w:pPr>
      <w:rPr>
        <w:rFonts w:hint="default"/>
        <w:b w:val="0"/>
        <w:i w:val="0"/>
        <w:color w:val="auto"/>
        <w:sz w:val="22"/>
      </w:rPr>
    </w:lvl>
    <w:lvl w:ilvl="1" w:tplc="E6B8E14C">
      <w:start w:val="1"/>
      <w:numFmt w:val="lowerLetter"/>
      <w:lvlText w:val="%2."/>
      <w:lvlJc w:val="left"/>
      <w:pPr>
        <w:ind w:left="806" w:hanging="360"/>
      </w:pPr>
      <w:rPr>
        <w:b w:val="0"/>
        <w:color w:val="auto"/>
      </w:rPr>
    </w:lvl>
    <w:lvl w:ilvl="2" w:tplc="0409001B">
      <w:start w:val="1"/>
      <w:numFmt w:val="lowerRoman"/>
      <w:lvlText w:val="%3."/>
      <w:lvlJc w:val="right"/>
      <w:pPr>
        <w:ind w:left="1526" w:hanging="180"/>
      </w:pPr>
      <w:rPr>
        <w:i w:val="0"/>
      </w:rPr>
    </w:lvl>
    <w:lvl w:ilvl="3" w:tplc="04090019">
      <w:start w:val="1"/>
      <w:numFmt w:val="lowerLetter"/>
      <w:lvlText w:val="%4."/>
      <w:lvlJc w:val="left"/>
      <w:pPr>
        <w:ind w:left="2246" w:hanging="360"/>
      </w:pPr>
      <w:rPr>
        <w:b w:val="0"/>
        <w:i w:val="0"/>
      </w:rPr>
    </w:lvl>
    <w:lvl w:ilvl="4" w:tplc="3B407CD4">
      <w:start w:val="1"/>
      <w:numFmt w:val="upperLetter"/>
      <w:lvlText w:val="%5."/>
      <w:lvlJc w:val="left"/>
      <w:pPr>
        <w:ind w:left="2966" w:hanging="360"/>
      </w:pPr>
      <w:rPr>
        <w:rFonts w:hint="default"/>
      </w:rPr>
    </w:lvl>
    <w:lvl w:ilvl="5" w:tplc="4A54C86E" w:tentative="1">
      <w:start w:val="1"/>
      <w:numFmt w:val="lowerRoman"/>
      <w:lvlText w:val="%6."/>
      <w:lvlJc w:val="right"/>
      <w:pPr>
        <w:ind w:left="3686" w:hanging="180"/>
      </w:pPr>
    </w:lvl>
    <w:lvl w:ilvl="6" w:tplc="BD5C0D72" w:tentative="1">
      <w:start w:val="1"/>
      <w:numFmt w:val="decimal"/>
      <w:lvlText w:val="%7."/>
      <w:lvlJc w:val="left"/>
      <w:pPr>
        <w:ind w:left="4406" w:hanging="360"/>
      </w:pPr>
    </w:lvl>
    <w:lvl w:ilvl="7" w:tplc="399C6962" w:tentative="1">
      <w:start w:val="1"/>
      <w:numFmt w:val="lowerLetter"/>
      <w:lvlText w:val="%8."/>
      <w:lvlJc w:val="left"/>
      <w:pPr>
        <w:ind w:left="5126" w:hanging="360"/>
      </w:pPr>
    </w:lvl>
    <w:lvl w:ilvl="8" w:tplc="37648A46" w:tentative="1">
      <w:start w:val="1"/>
      <w:numFmt w:val="lowerRoman"/>
      <w:lvlText w:val="%9."/>
      <w:lvlJc w:val="right"/>
      <w:pPr>
        <w:ind w:left="5846" w:hanging="180"/>
      </w:pPr>
    </w:lvl>
  </w:abstractNum>
  <w:abstractNum w:abstractNumId="11">
    <w:nsid w:val="302243EC"/>
    <w:multiLevelType w:val="hybridMultilevel"/>
    <w:tmpl w:val="73FCF832"/>
    <w:lvl w:ilvl="0" w:tplc="FBEC205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E13BE"/>
    <w:multiLevelType w:val="hybridMultilevel"/>
    <w:tmpl w:val="73FCF832"/>
    <w:lvl w:ilvl="0" w:tplc="FBEC205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174825"/>
    <w:multiLevelType w:val="hybridMultilevel"/>
    <w:tmpl w:val="EF5C44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6556D"/>
    <w:multiLevelType w:val="hybridMultilevel"/>
    <w:tmpl w:val="73FCF832"/>
    <w:lvl w:ilvl="0" w:tplc="FBEC205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F348B"/>
    <w:multiLevelType w:val="hybridMultilevel"/>
    <w:tmpl w:val="01789424"/>
    <w:lvl w:ilvl="0" w:tplc="D30E41F0">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9620E2"/>
    <w:multiLevelType w:val="hybridMultilevel"/>
    <w:tmpl w:val="73FCF832"/>
    <w:lvl w:ilvl="0" w:tplc="FBEC205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D62A3"/>
    <w:multiLevelType w:val="hybridMultilevel"/>
    <w:tmpl w:val="73FCF832"/>
    <w:lvl w:ilvl="0" w:tplc="FBEC205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804434"/>
    <w:multiLevelType w:val="hybridMultilevel"/>
    <w:tmpl w:val="7C9CF6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3F4385"/>
    <w:multiLevelType w:val="hybridMultilevel"/>
    <w:tmpl w:val="73FCF832"/>
    <w:lvl w:ilvl="0" w:tplc="FBEC205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40BBE"/>
    <w:multiLevelType w:val="multilevel"/>
    <w:tmpl w:val="DFB009DE"/>
    <w:lvl w:ilvl="0">
      <w:start w:val="1"/>
      <w:numFmt w:val="decimal"/>
      <w:lvlText w:val="%1)"/>
      <w:lvlJc w:val="left"/>
      <w:pPr>
        <w:ind w:left="360" w:hanging="360"/>
      </w:pPr>
      <w:rPr>
        <w:rFonts w:hint="default"/>
        <w:b w:val="0"/>
        <w:i w:val="0"/>
        <w:color w:val="auto"/>
        <w:sz w:val="22"/>
      </w:rPr>
    </w:lvl>
    <w:lvl w:ilvl="1">
      <w:start w:val="1"/>
      <w:numFmt w:val="lowerLetter"/>
      <w:lvlText w:val="%2)"/>
      <w:lvlJc w:val="left"/>
      <w:pPr>
        <w:ind w:left="720" w:hanging="360"/>
      </w:pPr>
      <w:rPr>
        <w:b w:val="0"/>
        <w:color w:val="auto"/>
      </w:rPr>
    </w:lvl>
    <w:lvl w:ilvl="2">
      <w:start w:val="1"/>
      <w:numFmt w:val="lowerRoman"/>
      <w:lvlText w:val="%3."/>
      <w:lvlJc w:val="right"/>
      <w:pPr>
        <w:ind w:left="1080" w:hanging="360"/>
      </w:pPr>
      <w:rPr>
        <w:i w:val="0"/>
      </w:rPr>
    </w:lvl>
    <w:lvl w:ilvl="3">
      <w:start w:val="1"/>
      <w:numFmt w:val="decimal"/>
      <w:lvlText w:val="(%4)"/>
      <w:lvlJc w:val="left"/>
      <w:pPr>
        <w:ind w:left="1440" w:hanging="360"/>
      </w:pPr>
      <w:rPr>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49D49E8"/>
    <w:multiLevelType w:val="hybridMultilevel"/>
    <w:tmpl w:val="FCBE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652396"/>
    <w:multiLevelType w:val="hybridMultilevel"/>
    <w:tmpl w:val="73FCF832"/>
    <w:lvl w:ilvl="0" w:tplc="FBEC205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6E5A33"/>
    <w:multiLevelType w:val="hybridMultilevel"/>
    <w:tmpl w:val="23C6EDBC"/>
    <w:lvl w:ilvl="0" w:tplc="0409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E56C7E"/>
    <w:multiLevelType w:val="hybridMultilevel"/>
    <w:tmpl w:val="73FCF832"/>
    <w:lvl w:ilvl="0" w:tplc="FBEC205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2D659B"/>
    <w:multiLevelType w:val="hybridMultilevel"/>
    <w:tmpl w:val="73FCF832"/>
    <w:lvl w:ilvl="0" w:tplc="FBEC205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604D7C"/>
    <w:multiLevelType w:val="hybridMultilevel"/>
    <w:tmpl w:val="9B6A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AB0001"/>
    <w:multiLevelType w:val="hybridMultilevel"/>
    <w:tmpl w:val="73FCF832"/>
    <w:lvl w:ilvl="0" w:tplc="FBEC205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060888"/>
    <w:multiLevelType w:val="hybridMultilevel"/>
    <w:tmpl w:val="ED9E6B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B7B0F2C"/>
    <w:multiLevelType w:val="hybridMultilevel"/>
    <w:tmpl w:val="BF861F28"/>
    <w:lvl w:ilvl="0" w:tplc="B986CB76">
      <w:start w:val="1"/>
      <w:numFmt w:val="bullet"/>
      <w:lvlText w:val=""/>
      <w:lvlJc w:val="left"/>
      <w:pPr>
        <w:ind w:left="720" w:hanging="360"/>
      </w:pPr>
      <w:rPr>
        <w:rFonts w:ascii="Symbol" w:hAnsi="Symbol" w:hint="default"/>
        <w:color w:val="auto"/>
      </w:rPr>
    </w:lvl>
    <w:lvl w:ilvl="1" w:tplc="63F89D6A">
      <w:start w:val="10"/>
      <w:numFmt w:val="lowerLetter"/>
      <w:lvlText w:val="%2."/>
      <w:lvlJc w:val="left"/>
      <w:pPr>
        <w:ind w:left="1440" w:hanging="360"/>
      </w:pPr>
      <w:rPr>
        <w:rFonts w:hint="default"/>
        <w:b/>
      </w:rPr>
    </w:lvl>
    <w:lvl w:ilvl="2" w:tplc="B36E2384">
      <w:start w:val="1"/>
      <w:numFmt w:val="lowerRoman"/>
      <w:lvlText w:val="%3."/>
      <w:lvlJc w:val="right"/>
      <w:pPr>
        <w:ind w:left="2160" w:hanging="180"/>
      </w:pPr>
      <w:rPr>
        <w:i w:val="0"/>
      </w:rPr>
    </w:lvl>
    <w:lvl w:ilvl="3" w:tplc="0712A21A" w:tentative="1">
      <w:start w:val="1"/>
      <w:numFmt w:val="decimal"/>
      <w:lvlText w:val="%4."/>
      <w:lvlJc w:val="left"/>
      <w:pPr>
        <w:ind w:left="2880" w:hanging="360"/>
      </w:pPr>
    </w:lvl>
    <w:lvl w:ilvl="4" w:tplc="3DF41552" w:tentative="1">
      <w:start w:val="1"/>
      <w:numFmt w:val="lowerLetter"/>
      <w:lvlText w:val="%5."/>
      <w:lvlJc w:val="left"/>
      <w:pPr>
        <w:ind w:left="3600" w:hanging="360"/>
      </w:pPr>
    </w:lvl>
    <w:lvl w:ilvl="5" w:tplc="63786830" w:tentative="1">
      <w:start w:val="1"/>
      <w:numFmt w:val="lowerRoman"/>
      <w:lvlText w:val="%6."/>
      <w:lvlJc w:val="right"/>
      <w:pPr>
        <w:ind w:left="4320" w:hanging="180"/>
      </w:pPr>
    </w:lvl>
    <w:lvl w:ilvl="6" w:tplc="5FACC206" w:tentative="1">
      <w:start w:val="1"/>
      <w:numFmt w:val="decimal"/>
      <w:lvlText w:val="%7."/>
      <w:lvlJc w:val="left"/>
      <w:pPr>
        <w:ind w:left="5040" w:hanging="360"/>
      </w:pPr>
    </w:lvl>
    <w:lvl w:ilvl="7" w:tplc="009E1208" w:tentative="1">
      <w:start w:val="1"/>
      <w:numFmt w:val="lowerLetter"/>
      <w:lvlText w:val="%8."/>
      <w:lvlJc w:val="left"/>
      <w:pPr>
        <w:ind w:left="5760" w:hanging="360"/>
      </w:pPr>
    </w:lvl>
    <w:lvl w:ilvl="8" w:tplc="397E1986" w:tentative="1">
      <w:start w:val="1"/>
      <w:numFmt w:val="lowerRoman"/>
      <w:lvlText w:val="%9."/>
      <w:lvlJc w:val="right"/>
      <w:pPr>
        <w:ind w:left="6480" w:hanging="180"/>
      </w:pPr>
    </w:lvl>
  </w:abstractNum>
  <w:abstractNum w:abstractNumId="30">
    <w:nsid w:val="6CC63B34"/>
    <w:multiLevelType w:val="hybridMultilevel"/>
    <w:tmpl w:val="FD183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B232BA"/>
    <w:multiLevelType w:val="hybridMultilevel"/>
    <w:tmpl w:val="73FCF832"/>
    <w:lvl w:ilvl="0" w:tplc="FBEC205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CA3CEA"/>
    <w:multiLevelType w:val="hybridMultilevel"/>
    <w:tmpl w:val="FE6CF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357317B"/>
    <w:multiLevelType w:val="hybridMultilevel"/>
    <w:tmpl w:val="D07A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52189D"/>
    <w:multiLevelType w:val="hybridMultilevel"/>
    <w:tmpl w:val="73FCF832"/>
    <w:lvl w:ilvl="0" w:tplc="FBEC205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7166B7"/>
    <w:multiLevelType w:val="hybridMultilevel"/>
    <w:tmpl w:val="91169F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9232C7"/>
    <w:multiLevelType w:val="hybridMultilevel"/>
    <w:tmpl w:val="73FCF832"/>
    <w:lvl w:ilvl="0" w:tplc="FBEC205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CC121B"/>
    <w:multiLevelType w:val="hybridMultilevel"/>
    <w:tmpl w:val="3852FF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D236DA3"/>
    <w:multiLevelType w:val="hybridMultilevel"/>
    <w:tmpl w:val="C5A4E0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32"/>
  </w:num>
  <w:num w:numId="4">
    <w:abstractNumId w:val="0"/>
  </w:num>
  <w:num w:numId="5">
    <w:abstractNumId w:val="3"/>
  </w:num>
  <w:num w:numId="6">
    <w:abstractNumId w:val="21"/>
  </w:num>
  <w:num w:numId="7">
    <w:abstractNumId w:val="37"/>
  </w:num>
  <w:num w:numId="8">
    <w:abstractNumId w:val="1"/>
  </w:num>
  <w:num w:numId="9">
    <w:abstractNumId w:val="5"/>
  </w:num>
  <w:num w:numId="10">
    <w:abstractNumId w:val="33"/>
  </w:num>
  <w:num w:numId="11">
    <w:abstractNumId w:val="2"/>
  </w:num>
  <w:num w:numId="12">
    <w:abstractNumId w:val="28"/>
  </w:num>
  <w:num w:numId="13">
    <w:abstractNumId w:val="7"/>
  </w:num>
  <w:num w:numId="14">
    <w:abstractNumId w:val="23"/>
  </w:num>
  <w:num w:numId="15">
    <w:abstractNumId w:val="35"/>
  </w:num>
  <w:num w:numId="16">
    <w:abstractNumId w:val="15"/>
  </w:num>
  <w:num w:numId="17">
    <w:abstractNumId w:val="30"/>
  </w:num>
  <w:num w:numId="18">
    <w:abstractNumId w:val="10"/>
  </w:num>
  <w:num w:numId="19">
    <w:abstractNumId w:val="4"/>
  </w:num>
  <w:num w:numId="20">
    <w:abstractNumId w:val="20"/>
  </w:num>
  <w:num w:numId="21">
    <w:abstractNumId w:val="6"/>
  </w:num>
  <w:num w:numId="22">
    <w:abstractNumId w:val="26"/>
  </w:num>
  <w:num w:numId="23">
    <w:abstractNumId w:val="18"/>
  </w:num>
  <w:num w:numId="24">
    <w:abstractNumId w:val="8"/>
  </w:num>
  <w:num w:numId="25">
    <w:abstractNumId w:val="38"/>
  </w:num>
  <w:num w:numId="26">
    <w:abstractNumId w:val="13"/>
  </w:num>
  <w:num w:numId="27">
    <w:abstractNumId w:val="29"/>
  </w:num>
  <w:num w:numId="28">
    <w:abstractNumId w:val="25"/>
  </w:num>
  <w:num w:numId="29">
    <w:abstractNumId w:val="11"/>
  </w:num>
  <w:num w:numId="30">
    <w:abstractNumId w:val="27"/>
  </w:num>
  <w:num w:numId="31">
    <w:abstractNumId w:val="17"/>
  </w:num>
  <w:num w:numId="32">
    <w:abstractNumId w:val="22"/>
  </w:num>
  <w:num w:numId="33">
    <w:abstractNumId w:val="36"/>
  </w:num>
  <w:num w:numId="34">
    <w:abstractNumId w:val="14"/>
  </w:num>
  <w:num w:numId="35">
    <w:abstractNumId w:val="24"/>
  </w:num>
  <w:num w:numId="36">
    <w:abstractNumId w:val="34"/>
  </w:num>
  <w:num w:numId="37">
    <w:abstractNumId w:val="31"/>
  </w:num>
  <w:num w:numId="38">
    <w:abstractNumId w:val="1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4D"/>
    <w:rsid w:val="00044A96"/>
    <w:rsid w:val="001A4AA8"/>
    <w:rsid w:val="00211257"/>
    <w:rsid w:val="0022652F"/>
    <w:rsid w:val="002941E4"/>
    <w:rsid w:val="002E0E4C"/>
    <w:rsid w:val="00333FF7"/>
    <w:rsid w:val="003677CB"/>
    <w:rsid w:val="00396E06"/>
    <w:rsid w:val="003A00BC"/>
    <w:rsid w:val="003A1C8B"/>
    <w:rsid w:val="0048006D"/>
    <w:rsid w:val="004A77D9"/>
    <w:rsid w:val="004F668B"/>
    <w:rsid w:val="005C2E1A"/>
    <w:rsid w:val="005D2F01"/>
    <w:rsid w:val="00611A4D"/>
    <w:rsid w:val="0065752F"/>
    <w:rsid w:val="006E17FD"/>
    <w:rsid w:val="006E1D42"/>
    <w:rsid w:val="00756E89"/>
    <w:rsid w:val="007A49CA"/>
    <w:rsid w:val="007E6091"/>
    <w:rsid w:val="00836943"/>
    <w:rsid w:val="00884195"/>
    <w:rsid w:val="008B0356"/>
    <w:rsid w:val="008C0F2C"/>
    <w:rsid w:val="00920BC8"/>
    <w:rsid w:val="00923E98"/>
    <w:rsid w:val="00945FEC"/>
    <w:rsid w:val="00947873"/>
    <w:rsid w:val="009F6164"/>
    <w:rsid w:val="009F6341"/>
    <w:rsid w:val="00A17228"/>
    <w:rsid w:val="00A53C19"/>
    <w:rsid w:val="00AC1594"/>
    <w:rsid w:val="00BB1E64"/>
    <w:rsid w:val="00BB497A"/>
    <w:rsid w:val="00BC125C"/>
    <w:rsid w:val="00BE58E4"/>
    <w:rsid w:val="00BE6529"/>
    <w:rsid w:val="00BF3CD4"/>
    <w:rsid w:val="00C302FA"/>
    <w:rsid w:val="00D74C94"/>
    <w:rsid w:val="00E04850"/>
    <w:rsid w:val="00E16442"/>
    <w:rsid w:val="00EF6B2C"/>
    <w:rsid w:val="00F10C61"/>
    <w:rsid w:val="00F658CA"/>
    <w:rsid w:val="00FB02BC"/>
    <w:rsid w:val="00FE1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58BEE8"/>
  <w15:docId w15:val="{B8BB3714-666C-43DC-9490-3839EF8A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A4D"/>
  </w:style>
  <w:style w:type="paragraph" w:styleId="Heading1">
    <w:name w:val="heading 1"/>
    <w:basedOn w:val="Normal"/>
    <w:next w:val="Normal"/>
    <w:link w:val="Heading1Char"/>
    <w:uiPriority w:val="9"/>
    <w:qFormat/>
    <w:rsid w:val="00611A4D"/>
    <w:pPr>
      <w:spacing w:after="0" w:line="240" w:lineRule="auto"/>
      <w:outlineLvl w:val="0"/>
    </w:pPr>
    <w:rPr>
      <w:rFonts w:ascii="Times New Roman" w:hAnsi="Times New Roman"/>
      <w:b/>
      <w:sz w:val="24"/>
    </w:rPr>
  </w:style>
  <w:style w:type="paragraph" w:styleId="Heading2">
    <w:name w:val="heading 2"/>
    <w:basedOn w:val="Normal"/>
    <w:next w:val="Normal"/>
    <w:link w:val="Heading2Char"/>
    <w:uiPriority w:val="9"/>
    <w:semiHidden/>
    <w:unhideWhenUsed/>
    <w:qFormat/>
    <w:rsid w:val="00611A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611A4D"/>
    <w:pPr>
      <w:keepNext w:val="0"/>
      <w:keepLines w:val="0"/>
      <w:spacing w:before="0" w:line="240" w:lineRule="auto"/>
      <w:outlineLvl w:val="2"/>
    </w:pPr>
    <w:rPr>
      <w:rFonts w:ascii="Times New Roman" w:eastAsiaTheme="minorHAnsi" w:hAnsi="Times New Roman" w:cstheme="minorBidi"/>
      <w:color w:val="auto"/>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A4D"/>
    <w:rPr>
      <w:rFonts w:ascii="Times New Roman" w:hAnsi="Times New Roman"/>
      <w:b/>
      <w:sz w:val="24"/>
    </w:rPr>
  </w:style>
  <w:style w:type="character" w:customStyle="1" w:styleId="Heading2Char">
    <w:name w:val="Heading 2 Char"/>
    <w:basedOn w:val="DefaultParagraphFont"/>
    <w:link w:val="Heading2"/>
    <w:uiPriority w:val="9"/>
    <w:semiHidden/>
    <w:rsid w:val="00611A4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1A4D"/>
    <w:rPr>
      <w:rFonts w:ascii="Times New Roman" w:hAnsi="Times New Roman"/>
      <w:sz w:val="24"/>
      <w:u w:val="single"/>
    </w:rPr>
  </w:style>
  <w:style w:type="paragraph" w:styleId="ListParagraph">
    <w:name w:val="List Paragraph"/>
    <w:aliases w:val="List_Paragraph,Multilevel para_II,List Paragraph1,Normal 2,List Paragraph (numbered (a)),References,Bullets,Numbered List Paragraph,Main numbered paragraph,Akapit z listą BS,Bullet1,Citation List,Ha,Liste 1,NUMBERED PARAGRAPH"/>
    <w:basedOn w:val="Normal"/>
    <w:link w:val="ListParagraphChar"/>
    <w:uiPriority w:val="34"/>
    <w:qFormat/>
    <w:rsid w:val="00611A4D"/>
    <w:pPr>
      <w:ind w:left="720"/>
      <w:contextualSpacing/>
    </w:pPr>
  </w:style>
  <w:style w:type="paragraph" w:styleId="FootnoteText">
    <w:name w:val="footnote text"/>
    <w:aliases w:val="ALTS FOOTNOTE,FOOTNOTES,Fodnotetekst Tegn,Footnote Text Char Char Char Char,Footnote Text Char Char Char1,Footnote Text Char Char1 Ch,Footnote Text Char1 Char Char,Footnote Text Char1 Char1,Footnote Text Char2,fn,footnote text,single space"/>
    <w:basedOn w:val="Normal"/>
    <w:link w:val="FootnoteTextChar"/>
    <w:uiPriority w:val="99"/>
    <w:unhideWhenUsed/>
    <w:qFormat/>
    <w:rsid w:val="00611A4D"/>
    <w:pPr>
      <w:spacing w:after="0" w:line="240" w:lineRule="auto"/>
    </w:pPr>
    <w:rPr>
      <w:sz w:val="20"/>
      <w:szCs w:val="20"/>
    </w:rPr>
  </w:style>
  <w:style w:type="character" w:customStyle="1" w:styleId="FootnoteTextChar">
    <w:name w:val="Footnote Text Char"/>
    <w:aliases w:val="ALTS FOOTNOTE Char,FOOTNOTES Char,Fodnotetekst Tegn Char,Footnote Text Char Char Char Char Char,Footnote Text Char Char Char1 Char,Footnote Text Char Char1 Ch Char,Footnote Text Char1 Char Char Char,Footnote Text Char1 Char1 Char"/>
    <w:basedOn w:val="DefaultParagraphFont"/>
    <w:link w:val="FootnoteText"/>
    <w:uiPriority w:val="99"/>
    <w:rsid w:val="00611A4D"/>
    <w:rPr>
      <w:sz w:val="20"/>
      <w:szCs w:val="20"/>
    </w:rPr>
  </w:style>
  <w:style w:type="character" w:styleId="FootnoteReference">
    <w:name w:val="footnote reference"/>
    <w:aliases w:val="ftref, BVI fnr,10 pt,BVI fnr,Error-Fußnotenzeichen3,Error-Fußnotenzeichen5,Error-Fußnotenzeichen6,Footnote + Arial,Footnote Reference Number,Footnote Reference1,Footnote Reference_LVL6,Footnote Reference_LVL61,Footnote Reference_LVL62"/>
    <w:basedOn w:val="DefaultParagraphFont"/>
    <w:link w:val="16PointChar"/>
    <w:uiPriority w:val="99"/>
    <w:unhideWhenUsed/>
    <w:qFormat/>
    <w:rsid w:val="00611A4D"/>
    <w:rPr>
      <w:vertAlign w:val="superscript"/>
    </w:rPr>
  </w:style>
  <w:style w:type="character" w:styleId="Strong">
    <w:name w:val="Strong"/>
    <w:basedOn w:val="DefaultParagraphFont"/>
    <w:qFormat/>
    <w:rsid w:val="00611A4D"/>
    <w:rPr>
      <w:b/>
      <w:bCs/>
    </w:rPr>
  </w:style>
  <w:style w:type="character" w:styleId="Emphasis">
    <w:name w:val="Emphasis"/>
    <w:basedOn w:val="DefaultParagraphFont"/>
    <w:qFormat/>
    <w:rsid w:val="00611A4D"/>
    <w:rPr>
      <w:i/>
      <w:iCs/>
    </w:rPr>
  </w:style>
  <w:style w:type="table" w:styleId="TableGrid">
    <w:name w:val="Table Grid"/>
    <w:basedOn w:val="TableNormal"/>
    <w:uiPriority w:val="59"/>
    <w:rsid w:val="00611A4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_Paragraph Char,Multilevel para_II Char,List Paragraph1 Char,Normal 2 Char,List Paragraph (numbered (a)) Char,References Char,Bullets Char,Numbered List Paragraph Char,Main numbered paragraph Char,Akapit z listą BS Char,Ha Char"/>
    <w:basedOn w:val="DefaultParagraphFont"/>
    <w:link w:val="ListParagraph"/>
    <w:uiPriority w:val="34"/>
    <w:qFormat/>
    <w:locked/>
    <w:rsid w:val="00611A4D"/>
  </w:style>
  <w:style w:type="paragraph" w:customStyle="1" w:styleId="Paragraph">
    <w:name w:val="Paragraph"/>
    <w:basedOn w:val="Normal"/>
    <w:link w:val="ParagraphChar"/>
    <w:qFormat/>
    <w:rsid w:val="00611A4D"/>
    <w:pPr>
      <w:numPr>
        <w:numId w:val="4"/>
      </w:numPr>
      <w:spacing w:after="0" w:line="240" w:lineRule="auto"/>
      <w:jc w:val="both"/>
    </w:pPr>
    <w:rPr>
      <w:rFonts w:ascii="Times New Roman" w:eastAsia="Times New Roman" w:hAnsi="Times New Roman" w:cs="Times New Roman"/>
      <w:sz w:val="24"/>
      <w:szCs w:val="24"/>
    </w:rPr>
  </w:style>
  <w:style w:type="character" w:customStyle="1" w:styleId="ParagraphChar">
    <w:name w:val="Paragraph Char"/>
    <w:basedOn w:val="DefaultParagraphFont"/>
    <w:link w:val="Paragraph"/>
    <w:rsid w:val="00611A4D"/>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611A4D"/>
    <w:pPr>
      <w:spacing w:after="120" w:line="276" w:lineRule="auto"/>
    </w:pPr>
    <w:rPr>
      <w:rFonts w:ascii="Calibri" w:eastAsia="Calibri" w:hAnsi="Calibri" w:cs="Times New Roman"/>
      <w:sz w:val="16"/>
      <w:szCs w:val="16"/>
      <w:lang w:val="en-GB" w:eastAsia="x-none"/>
    </w:rPr>
  </w:style>
  <w:style w:type="character" w:customStyle="1" w:styleId="BodyText3Char">
    <w:name w:val="Body Text 3 Char"/>
    <w:basedOn w:val="DefaultParagraphFont"/>
    <w:link w:val="BodyText3"/>
    <w:uiPriority w:val="99"/>
    <w:rsid w:val="00611A4D"/>
    <w:rPr>
      <w:rFonts w:ascii="Calibri" w:eastAsia="Calibri" w:hAnsi="Calibri" w:cs="Times New Roman"/>
      <w:sz w:val="16"/>
      <w:szCs w:val="16"/>
      <w:lang w:val="en-GB" w:eastAsia="x-none"/>
    </w:rPr>
  </w:style>
  <w:style w:type="paragraph" w:customStyle="1" w:styleId="Normal4">
    <w:name w:val="Normal4"/>
    <w:rsid w:val="00611A4D"/>
    <w:pPr>
      <w:spacing w:after="200" w:line="276" w:lineRule="auto"/>
    </w:pPr>
    <w:rPr>
      <w:rFonts w:ascii="Calibri" w:eastAsia="Calibri" w:hAnsi="Calibri" w:cs="Calibri"/>
      <w:color w:val="000000"/>
    </w:rPr>
  </w:style>
  <w:style w:type="paragraph" w:styleId="CommentText">
    <w:name w:val="annotation text"/>
    <w:basedOn w:val="Normal"/>
    <w:link w:val="CommentTextChar"/>
    <w:uiPriority w:val="99"/>
    <w:unhideWhenUsed/>
    <w:rsid w:val="00611A4D"/>
    <w:pPr>
      <w:widowControl w:val="0"/>
      <w:autoSpaceDE w:val="0"/>
      <w:autoSpaceDN w:val="0"/>
      <w:adjustRightInd w:val="0"/>
      <w:spacing w:after="0" w:line="240" w:lineRule="auto"/>
    </w:pPr>
    <w:rPr>
      <w:rFonts w:ascii="Arial" w:eastAsiaTheme="minorEastAsia" w:hAnsi="Arial" w:cs="Arial"/>
      <w:color w:val="000000"/>
      <w:sz w:val="20"/>
      <w:szCs w:val="20"/>
    </w:rPr>
  </w:style>
  <w:style w:type="character" w:customStyle="1" w:styleId="CommentTextChar">
    <w:name w:val="Comment Text Char"/>
    <w:basedOn w:val="DefaultParagraphFont"/>
    <w:link w:val="CommentText"/>
    <w:uiPriority w:val="99"/>
    <w:rsid w:val="00611A4D"/>
    <w:rPr>
      <w:rFonts w:ascii="Arial" w:eastAsiaTheme="minorEastAsia" w:hAnsi="Arial" w:cs="Arial"/>
      <w:color w:val="000000"/>
      <w:sz w:val="20"/>
      <w:szCs w:val="20"/>
    </w:rPr>
  </w:style>
  <w:style w:type="character" w:styleId="CommentReference">
    <w:name w:val="annotation reference"/>
    <w:basedOn w:val="DefaultParagraphFont"/>
    <w:unhideWhenUsed/>
    <w:rsid w:val="00611A4D"/>
    <w:rPr>
      <w:sz w:val="16"/>
      <w:szCs w:val="16"/>
    </w:rPr>
  </w:style>
  <w:style w:type="paragraph" w:styleId="BalloonText">
    <w:name w:val="Balloon Text"/>
    <w:basedOn w:val="Normal"/>
    <w:link w:val="BalloonTextChar"/>
    <w:uiPriority w:val="99"/>
    <w:semiHidden/>
    <w:unhideWhenUsed/>
    <w:rsid w:val="00611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A4D"/>
    <w:rPr>
      <w:rFonts w:ascii="Segoe UI" w:hAnsi="Segoe UI" w:cs="Segoe UI"/>
      <w:sz w:val="18"/>
      <w:szCs w:val="18"/>
    </w:rPr>
  </w:style>
  <w:style w:type="paragraph" w:styleId="Header">
    <w:name w:val="header"/>
    <w:basedOn w:val="Normal"/>
    <w:link w:val="HeaderChar"/>
    <w:uiPriority w:val="99"/>
    <w:unhideWhenUsed/>
    <w:rsid w:val="00611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4D"/>
  </w:style>
  <w:style w:type="paragraph" w:styleId="Footer">
    <w:name w:val="footer"/>
    <w:basedOn w:val="Normal"/>
    <w:link w:val="FooterChar"/>
    <w:uiPriority w:val="99"/>
    <w:unhideWhenUsed/>
    <w:rsid w:val="00611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4D"/>
  </w:style>
  <w:style w:type="paragraph" w:customStyle="1" w:styleId="16PointChar">
    <w:name w:val="16 Point Char"/>
    <w:aliases w:val="BVI fnr Char,Footnote Reference Number Char,Normal + Font:9 Point Char,Superscript 3 Point Times Char,Superscript 6 Point Char,ftref Char"/>
    <w:basedOn w:val="Normal"/>
    <w:next w:val="Normal"/>
    <w:link w:val="FootnoteReference"/>
    <w:uiPriority w:val="99"/>
    <w:rsid w:val="00611A4D"/>
    <w:pPr>
      <w:spacing w:line="240" w:lineRule="exact"/>
    </w:pPr>
    <w:rPr>
      <w:vertAlign w:val="superscript"/>
    </w:rPr>
  </w:style>
  <w:style w:type="paragraph" w:styleId="CommentSubject">
    <w:name w:val="annotation subject"/>
    <w:basedOn w:val="CommentText"/>
    <w:next w:val="CommentText"/>
    <w:link w:val="CommentSubjectChar"/>
    <w:uiPriority w:val="99"/>
    <w:semiHidden/>
    <w:unhideWhenUsed/>
    <w:rsid w:val="003677CB"/>
    <w:pPr>
      <w:widowControl/>
      <w:autoSpaceDE/>
      <w:autoSpaceDN/>
      <w:adjustRightInd/>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3677CB"/>
    <w:rPr>
      <w:rFonts w:ascii="Arial" w:eastAsiaTheme="minorEastAsia"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d7af5f900d247e02e572993f9ac8c011">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18ddb2301dc4b54cd239b3af4c41ac2b"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8B41-47C4-43C0-B731-58C1A9AC5D1D}">
  <ds:schemaRefs>
    <ds:schemaRef ds:uri="http://schemas.microsoft.com/sharepoint/v3/contenttype/forms"/>
  </ds:schemaRefs>
</ds:datastoreItem>
</file>

<file path=customXml/itemProps2.xml><?xml version="1.0" encoding="utf-8"?>
<ds:datastoreItem xmlns:ds="http://schemas.openxmlformats.org/officeDocument/2006/customXml" ds:itemID="{E429BEF4-83E8-421D-9D16-38A17CCE4104}">
  <ds:schemaRefs>
    <ds:schemaRef ds:uri="http://purl.org/dc/elements/1.1/"/>
    <ds:schemaRef ds:uri="http://schemas.microsoft.com/office/2006/metadata/properties"/>
    <ds:schemaRef ds:uri="aa3449fd-d373-417f-9c8d-cf261ce8b785"/>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eda4fd43-f936-4ced-9b4a-46c1ef7d5473"/>
    <ds:schemaRef ds:uri="http://www.w3.org/XML/1998/namespace"/>
    <ds:schemaRef ds:uri="http://purl.org/dc/dcmitype/"/>
  </ds:schemaRefs>
</ds:datastoreItem>
</file>

<file path=customXml/itemProps3.xml><?xml version="1.0" encoding="utf-8"?>
<ds:datastoreItem xmlns:ds="http://schemas.openxmlformats.org/officeDocument/2006/customXml" ds:itemID="{002BDD35-70A3-4355-B090-9F2CCA82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CF923-B184-48F5-A4D2-E98B53AE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5083</Words>
  <Characters>28974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Schmidt</dc:creator>
  <cp:lastModifiedBy>Hawwa Maldha</cp:lastModifiedBy>
  <cp:revision>3</cp:revision>
  <cp:lastPrinted>2019-11-20T05:38:00Z</cp:lastPrinted>
  <dcterms:created xsi:type="dcterms:W3CDTF">2019-12-11T07:04:00Z</dcterms:created>
  <dcterms:modified xsi:type="dcterms:W3CDTF">2020-02-10T03:18:00Z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