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54F7E8A4" w:rsidR="008B1FAD" w:rsidRDefault="009509C2" w:rsidP="007226BE">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7226BE">
        <w:rPr>
          <w:b/>
          <w:bCs/>
          <w:color w:val="000000"/>
          <w:sz w:val="40"/>
          <w:szCs w:val="40"/>
        </w:rPr>
        <w:t>0</w:t>
      </w:r>
      <w:r w:rsidR="008B1FAD">
        <w:rPr>
          <w:b/>
          <w:bCs/>
          <w:color w:val="000000"/>
          <w:sz w:val="40"/>
          <w:szCs w:val="40"/>
        </w:rPr>
        <w:t>1</w:t>
      </w:r>
      <w:r>
        <w:rPr>
          <w:b/>
          <w:bCs/>
          <w:color w:val="000000"/>
          <w:sz w:val="40"/>
          <w:szCs w:val="40"/>
        </w:rPr>
        <w:t xml:space="preserve">: </w:t>
      </w:r>
    </w:p>
    <w:tbl>
      <w:tblPr>
        <w:tblW w:w="0" w:type="auto"/>
        <w:tblCellSpacing w:w="15" w:type="dxa"/>
        <w:tblInd w:w="1411" w:type="dxa"/>
        <w:tblCellMar>
          <w:top w:w="15" w:type="dxa"/>
          <w:left w:w="15" w:type="dxa"/>
          <w:bottom w:w="15" w:type="dxa"/>
          <w:right w:w="15" w:type="dxa"/>
        </w:tblCellMar>
        <w:tblLook w:val="04A0" w:firstRow="1" w:lastRow="0" w:firstColumn="1" w:lastColumn="0" w:noHBand="0" w:noVBand="1"/>
      </w:tblPr>
      <w:tblGrid>
        <w:gridCol w:w="5955"/>
        <w:gridCol w:w="81"/>
      </w:tblGrid>
      <w:tr w:rsidR="008B1FAD" w:rsidRPr="007226BE" w14:paraId="0D09D1F2" w14:textId="77777777" w:rsidTr="007226BE">
        <w:trPr>
          <w:tblCellSpacing w:w="15" w:type="dxa"/>
        </w:trPr>
        <w:tc>
          <w:tcPr>
            <w:tcW w:w="0" w:type="auto"/>
            <w:vAlign w:val="center"/>
            <w:hideMark/>
          </w:tcPr>
          <w:p w14:paraId="18F6F9DF" w14:textId="5CEFE319" w:rsidR="008B1FAD" w:rsidRPr="007226BE" w:rsidRDefault="00F91E43" w:rsidP="007226BE">
            <w:pPr>
              <w:spacing w:after="240" w:line="259" w:lineRule="auto"/>
              <w:jc w:val="center"/>
              <w:rPr>
                <w:sz w:val="44"/>
                <w:szCs w:val="44"/>
              </w:rPr>
            </w:pPr>
            <w:r w:rsidRPr="007226BE">
              <w:rPr>
                <w:b/>
                <w:bCs/>
                <w:color w:val="000000"/>
                <w:sz w:val="44"/>
                <w:szCs w:val="44"/>
              </w:rPr>
              <w:t xml:space="preserve">Supply and Delivery of </w:t>
            </w:r>
            <w:r w:rsidR="007226BE" w:rsidRPr="007226BE">
              <w:rPr>
                <w:b/>
                <w:bCs/>
                <w:color w:val="000000"/>
                <w:sz w:val="44"/>
                <w:szCs w:val="44"/>
              </w:rPr>
              <w:t>15 Cars</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1B62379F" w:rsidR="003A701A" w:rsidRPr="00BC7014" w:rsidRDefault="00BC7014" w:rsidP="004220C1">
      <w:pPr>
        <w:spacing w:line="259" w:lineRule="auto"/>
        <w:jc w:val="center"/>
        <w:rPr>
          <w:sz w:val="28"/>
          <w:szCs w:val="28"/>
        </w:rPr>
      </w:pPr>
      <w:r w:rsidRPr="00BC7014">
        <w:rPr>
          <w:sz w:val="28"/>
          <w:szCs w:val="28"/>
        </w:rPr>
        <w:t xml:space="preserve">Issued on: </w:t>
      </w:r>
      <w:r w:rsidR="007226BE">
        <w:rPr>
          <w:sz w:val="28"/>
          <w:szCs w:val="28"/>
        </w:rPr>
        <w:t>2</w:t>
      </w:r>
      <w:r w:rsidR="004220C1">
        <w:rPr>
          <w:sz w:val="28"/>
          <w:szCs w:val="28"/>
        </w:rPr>
        <w:t>2</w:t>
      </w:r>
      <w:r w:rsidR="004220C1" w:rsidRPr="004220C1">
        <w:rPr>
          <w:sz w:val="28"/>
          <w:szCs w:val="28"/>
          <w:vertAlign w:val="superscript"/>
        </w:rPr>
        <w:t>nd</w:t>
      </w:r>
      <w:r w:rsidR="004220C1">
        <w:rPr>
          <w:sz w:val="28"/>
          <w:szCs w:val="28"/>
        </w:rPr>
        <w:t xml:space="preserve"> </w:t>
      </w:r>
      <w:r w:rsidR="007226BE">
        <w:rPr>
          <w:sz w:val="28"/>
          <w:szCs w:val="28"/>
        </w:rPr>
        <w:t xml:space="preserve"> January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specified in the BDS .</w:t>
            </w:r>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the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if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“day”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r w:rsidRPr="0061745F">
              <w:t xml:space="preserve">not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t xml:space="preserve">submit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Maldives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Pr="0061745F">
              <w:rPr>
                <w:b/>
                <w:spacing w:val="0"/>
                <w:szCs w:val="24"/>
              </w:rPr>
              <w:t>BDS .</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r w:rsidRPr="0061745F">
              <w:rPr>
                <w:szCs w:val="24"/>
              </w:rPr>
              <w:t>written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r w:rsidRPr="0061745F">
              <w:rPr>
                <w:szCs w:val="24"/>
              </w:rPr>
              <w:t xml:space="preserve">any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Pr="0061745F">
              <w:rPr>
                <w:b/>
                <w:spacing w:val="0"/>
                <w:szCs w:val="24"/>
              </w:rPr>
              <w:t>BDS .</w:t>
            </w:r>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r w:rsidRPr="0061745F">
              <w:rPr>
                <w:szCs w:val="24"/>
              </w:rPr>
              <w:t xml:space="preserve">the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r w:rsidRPr="0061745F">
              <w:rPr>
                <w:b/>
                <w:spacing w:val="0"/>
                <w:szCs w:val="24"/>
              </w:rPr>
              <w:t>BDS ,</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r w:rsidRPr="0061745F">
              <w:rPr>
                <w:szCs w:val="24"/>
              </w:rPr>
              <w:t>the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r w:rsidRPr="0061745F">
              <w:rPr>
                <w:szCs w:val="24"/>
              </w:rPr>
              <w:t xml:space="preserve">at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r w:rsidRPr="0061745F">
              <w:rPr>
                <w:szCs w:val="24"/>
              </w:rP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r w:rsidRPr="0061745F">
              <w:rPr>
                <w:szCs w:val="24"/>
              </w:rPr>
              <w:t>be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r w:rsidRPr="0061745F">
              <w:rPr>
                <w:szCs w:val="24"/>
              </w:rPr>
              <w:t>be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r w:rsidRPr="0061745F">
              <w:rPr>
                <w:szCs w:val="24"/>
              </w:rPr>
              <w:t>be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r w:rsidRPr="0061745F">
              <w:rPr>
                <w:szCs w:val="24"/>
              </w:rPr>
              <w:t xml:space="preserve">remain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r w:rsidRPr="0061745F">
              <w:rPr>
                <w:szCs w:val="24"/>
              </w:rPr>
              <w:t>if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 xml:space="preserve">sign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r w:rsidRPr="0061745F">
              <w:rPr>
                <w:szCs w:val="24"/>
              </w:rPr>
              <w:t>be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r w:rsidRPr="0061745F">
              <w:rPr>
                <w:szCs w:val="24"/>
              </w:rPr>
              <w:t>bear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received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r w:rsidRPr="0061745F">
              <w:rPr>
                <w:szCs w:val="24"/>
              </w:rPr>
              <w:lastRenderedPageBreak/>
              <w:t>affects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r w:rsidRPr="0061745F">
              <w:rPr>
                <w:szCs w:val="24"/>
              </w:rPr>
              <w:t>limits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r w:rsidRPr="0061745F">
              <w:rPr>
                <w:szCs w:val="24"/>
              </w:rPr>
              <w:t>if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r w:rsidRPr="0061745F">
              <w:rPr>
                <w:szCs w:val="24"/>
              </w:rPr>
              <w:t>if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r w:rsidRPr="0061745F">
              <w:rPr>
                <w:szCs w:val="24"/>
              </w:rPr>
              <w:t xml:space="preserve">evaluation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r w:rsidRPr="0061745F">
              <w:rPr>
                <w:szCs w:val="24"/>
              </w:rPr>
              <w:t>price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r w:rsidRPr="0061745F">
              <w:rPr>
                <w:szCs w:val="24"/>
              </w:rPr>
              <w:t>price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r w:rsidRPr="0061745F">
              <w:rPr>
                <w:szCs w:val="24"/>
              </w:rPr>
              <w:t xml:space="preserve">adjustments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9443E9">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9443E9">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9443E9">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9443E9">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9443E9">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4E9E9B06" w14:textId="7BD460E5" w:rsidR="00BD1353" w:rsidRDefault="00CC64A8" w:rsidP="007226BE">
            <w:pPr>
              <w:tabs>
                <w:tab w:val="right" w:pos="7272"/>
              </w:tabs>
              <w:spacing w:before="60" w:after="60"/>
              <w:rPr>
                <w:b/>
                <w:bCs/>
                <w:i/>
                <w:iCs/>
                <w:color w:val="FF0000"/>
                <w:szCs w:val="24"/>
              </w:rPr>
            </w:pPr>
            <w:r>
              <w:t xml:space="preserve">The name of the ICB is: </w:t>
            </w:r>
            <w:r w:rsidR="00BD1353">
              <w:t xml:space="preserve"> </w:t>
            </w:r>
            <w:r w:rsidR="00B473EF">
              <w:rPr>
                <w:b/>
                <w:bCs/>
                <w:i/>
                <w:iCs/>
              </w:rPr>
              <w:t xml:space="preserve"> TES/201</w:t>
            </w:r>
            <w:r w:rsidR="007226BE">
              <w:rPr>
                <w:b/>
                <w:bCs/>
                <w:i/>
                <w:iCs/>
              </w:rPr>
              <w:t>9</w:t>
            </w:r>
            <w:r w:rsidR="00B473EF">
              <w:rPr>
                <w:b/>
                <w:bCs/>
                <w:i/>
                <w:iCs/>
              </w:rPr>
              <w:t xml:space="preserve">/G-1 </w:t>
            </w:r>
            <w:r w:rsidR="007226BE">
              <w:rPr>
                <w:b/>
                <w:bCs/>
                <w:i/>
                <w:iCs/>
              </w:rPr>
              <w:t>–</w:t>
            </w:r>
            <w:r w:rsidR="00B473EF">
              <w:t xml:space="preserve"> </w:t>
            </w:r>
            <w:r w:rsidR="007226BE">
              <w:rPr>
                <w:b/>
                <w:bCs/>
                <w:i/>
                <w:iCs/>
              </w:rPr>
              <w:t>SUPPLY AND DELIVERY OF 15 CARS</w:t>
            </w:r>
          </w:p>
          <w:p w14:paraId="35AE183C" w14:textId="329E3C51" w:rsidR="00552326" w:rsidRPr="008B66E1" w:rsidRDefault="00552326" w:rsidP="004220C1">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w:t>
            </w:r>
            <w:r w:rsidR="004220C1">
              <w:rPr>
                <w:b/>
                <w:bCs/>
              </w:rPr>
              <w:t>9</w:t>
            </w:r>
            <w:r w:rsidR="008B1FAD">
              <w:rPr>
                <w:b/>
                <w:bCs/>
              </w:rPr>
              <w:t>/</w:t>
            </w:r>
            <w:r w:rsidR="004220C1">
              <w:rPr>
                <w:b/>
                <w:bCs/>
              </w:rPr>
              <w:t>18</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9443E9">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9443E9">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9443E9">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3F63474D" w:rsidR="003A701A" w:rsidRPr="001334B4" w:rsidRDefault="006F4FB9" w:rsidP="003A701A">
            <w:pPr>
              <w:pStyle w:val="Default"/>
              <w:ind w:left="720"/>
              <w:rPr>
                <w:bCs/>
                <w:color w:val="auto"/>
                <w:szCs w:val="20"/>
                <w:lang w:val="en-GB"/>
              </w:rPr>
            </w:pPr>
            <w:r>
              <w:rPr>
                <w:bCs/>
                <w:color w:val="auto"/>
                <w:szCs w:val="20"/>
                <w:lang w:val="en-GB"/>
              </w:rPr>
              <w:t xml:space="preserve">Aishath </w:t>
            </w:r>
            <w:proofErr w:type="spellStart"/>
            <w:r>
              <w:rPr>
                <w:bCs/>
                <w:color w:val="auto"/>
                <w:szCs w:val="20"/>
                <w:lang w:val="en-GB"/>
              </w:rPr>
              <w:t>Nadheema</w:t>
            </w:r>
            <w:proofErr w:type="spellEnd"/>
            <w:r w:rsidR="004B67A7" w:rsidRPr="001334B4">
              <w:rPr>
                <w:bCs/>
                <w:color w:val="auto"/>
                <w:szCs w:val="20"/>
                <w:lang w:val="en-GB"/>
              </w:rPr>
              <w:t xml:space="preserve"> Ahmed</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37596517" w:rsidR="003A701A" w:rsidRPr="001334B4" w:rsidRDefault="003A701A" w:rsidP="008B1FAD">
            <w:pPr>
              <w:pStyle w:val="BodyText"/>
              <w:tabs>
                <w:tab w:val="left" w:pos="3346"/>
                <w:tab w:val="right" w:pos="7306"/>
              </w:tabs>
              <w:rPr>
                <w:bCs/>
                <w:color w:val="FF0000"/>
              </w:rPr>
            </w:pP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r w:rsidR="00242912">
              <w:fldChar w:fldCharType="begin"/>
            </w:r>
            <w:r w:rsidR="00242912" w:rsidRPr="00242912">
              <w:rPr>
                <w:lang w:val="it-IT"/>
              </w:rPr>
              <w:instrText xml:space="preserve"> HYPERLINK "mailto:aishath.nadheema@finance.gov.mv" </w:instrText>
            </w:r>
            <w:r w:rsidR="00242912">
              <w:fldChar w:fldCharType="separate"/>
            </w:r>
            <w:r w:rsidR="006F4FB9" w:rsidRPr="00CB2130">
              <w:rPr>
                <w:rStyle w:val="Hyperlink"/>
                <w:lang w:val="it-IT"/>
              </w:rPr>
              <w:t>aishath.nadheema@finance.gov.mv</w:t>
            </w:r>
            <w:r w:rsidR="00242912">
              <w:rPr>
                <w:rStyle w:val="Hyperlink"/>
                <w:lang w:val="it-IT"/>
              </w:rPr>
              <w:fldChar w:fldCharType="end"/>
            </w:r>
          </w:p>
          <w:p w14:paraId="163A9D14" w14:textId="5F264B12" w:rsidR="007230E5" w:rsidRPr="007230E5" w:rsidRDefault="003A701A" w:rsidP="004220C1">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4220C1">
              <w:rPr>
                <w:b/>
                <w:bCs/>
                <w:color w:val="FF0000"/>
                <w:sz w:val="22"/>
                <w:szCs w:val="22"/>
              </w:rPr>
              <w:t>31</w:t>
            </w:r>
            <w:r w:rsidR="004220C1" w:rsidRPr="004220C1">
              <w:rPr>
                <w:b/>
                <w:bCs/>
                <w:color w:val="FF0000"/>
                <w:sz w:val="22"/>
                <w:szCs w:val="22"/>
                <w:vertAlign w:val="superscript"/>
              </w:rPr>
              <w:t>st</w:t>
            </w:r>
            <w:r w:rsidR="004220C1">
              <w:rPr>
                <w:b/>
                <w:bCs/>
                <w:color w:val="FF0000"/>
                <w:sz w:val="22"/>
                <w:szCs w:val="22"/>
              </w:rPr>
              <w:t xml:space="preserve"> January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9443E9">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9443E9">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9443E9">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9443E9">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9443E9">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9443E9">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9443E9">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9443E9">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C338C3" w:rsidRPr="008B66E1" w14:paraId="22504BA7" w14:textId="77777777" w:rsidTr="009443E9">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9443E9">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2C0467BA"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00242912">
              <w:rPr>
                <w:b/>
                <w:bCs/>
                <w:szCs w:val="24"/>
              </w:rPr>
              <w:t xml:space="preserve"> or Equivalent US dollars</w:t>
            </w:r>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9443E9">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9443E9">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9443E9">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lastRenderedPageBreak/>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9443E9">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9443E9">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9443E9">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3054BEC1" w:rsidR="00912A74" w:rsidRDefault="00912A74" w:rsidP="004220C1">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4220C1">
              <w:rPr>
                <w:color w:val="FF0000"/>
                <w:sz w:val="22"/>
                <w:szCs w:val="22"/>
              </w:rPr>
              <w:t>10</w:t>
            </w:r>
            <w:r w:rsidR="008B1FAD" w:rsidRPr="008B1FAD">
              <w:rPr>
                <w:color w:val="FF0000"/>
                <w:sz w:val="22"/>
                <w:szCs w:val="22"/>
              </w:rPr>
              <w:t>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9443E9">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9443E9">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9443E9">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9443E9">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9443E9">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398DF0D1" w:rsidR="00053952" w:rsidRPr="005169CE" w:rsidRDefault="008B1FAD" w:rsidP="007226BE">
            <w:pPr>
              <w:tabs>
                <w:tab w:val="right" w:pos="7254"/>
              </w:tabs>
              <w:spacing w:before="120" w:after="120"/>
              <w:jc w:val="both"/>
              <w:rPr>
                <w:b/>
                <w:bCs/>
                <w:i/>
                <w:iCs/>
              </w:rPr>
            </w:pPr>
            <w:r>
              <w:rPr>
                <w:b/>
                <w:bCs/>
                <w:i/>
                <w:iCs/>
              </w:rPr>
              <w:t>TES/201</w:t>
            </w:r>
            <w:r w:rsidR="007226BE">
              <w:rPr>
                <w:b/>
                <w:bCs/>
                <w:i/>
                <w:iCs/>
              </w:rPr>
              <w:t>9</w:t>
            </w:r>
            <w:r>
              <w:rPr>
                <w:b/>
                <w:bCs/>
                <w:i/>
                <w:iCs/>
              </w:rPr>
              <w:t>/G-</w:t>
            </w:r>
            <w:r w:rsidR="007226BE">
              <w:rPr>
                <w:b/>
                <w:bCs/>
                <w:i/>
                <w:iCs/>
              </w:rPr>
              <w:t>01</w:t>
            </w:r>
            <w:r>
              <w:rPr>
                <w:b/>
                <w:bCs/>
                <w:i/>
                <w:iCs/>
              </w:rPr>
              <w:t xml:space="preserve"> -</w:t>
            </w:r>
            <w:r w:rsidR="00AB2CC0">
              <w:t xml:space="preserve"> </w:t>
            </w:r>
            <w:r w:rsidR="00AB2CC0" w:rsidRPr="00AB2CC0">
              <w:rPr>
                <w:b/>
                <w:bCs/>
                <w:i/>
                <w:iCs/>
              </w:rPr>
              <w:t xml:space="preserve">SUPPLY </w:t>
            </w:r>
            <w:r w:rsidR="007226BE">
              <w:rPr>
                <w:b/>
                <w:bCs/>
                <w:i/>
                <w:iCs/>
              </w:rPr>
              <w:t xml:space="preserve">AND DELIVERY </w:t>
            </w:r>
            <w:r w:rsidR="00AB2CC0" w:rsidRPr="00AB2CC0">
              <w:rPr>
                <w:b/>
                <w:bCs/>
                <w:i/>
                <w:iCs/>
              </w:rPr>
              <w:t xml:space="preserve">OF </w:t>
            </w:r>
            <w:r w:rsidR="007226BE">
              <w:rPr>
                <w:b/>
                <w:bCs/>
                <w:i/>
                <w:iCs/>
              </w:rPr>
              <w:t>15 CARS</w:t>
            </w:r>
          </w:p>
        </w:tc>
      </w:tr>
      <w:tr w:rsidR="00053952" w:rsidRPr="008B66E1" w14:paraId="07D31D6C" w14:textId="77777777" w:rsidTr="009443E9">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Mr.</w:t>
            </w:r>
            <w:proofErr w:type="spellEnd"/>
            <w:r w:rsidRPr="007413A8">
              <w:rPr>
                <w:bCs/>
                <w:i/>
                <w:iCs/>
                <w:color w:val="auto"/>
                <w:szCs w:val="20"/>
                <w:lang w:val="en-GB"/>
              </w:rPr>
              <w:t xml:space="preserve"> Ahmed </w:t>
            </w:r>
            <w:proofErr w:type="spellStart"/>
            <w:r w:rsidRPr="007413A8">
              <w:rPr>
                <w:bCs/>
                <w:i/>
                <w:iCs/>
                <w:color w:val="auto"/>
                <w:szCs w:val="20"/>
                <w:lang w:val="en-GB"/>
              </w:rPr>
              <w:t>Mujuthaba</w:t>
            </w:r>
            <w:proofErr w:type="spellEnd"/>
            <w:r w:rsidRPr="007413A8">
              <w:rPr>
                <w:bCs/>
                <w:i/>
                <w:iCs/>
                <w:color w:val="auto"/>
                <w:szCs w:val="20"/>
                <w:lang w:val="en-GB"/>
              </w:rPr>
              <w:t>,</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0"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42912">
              <w:fldChar w:fldCharType="begin"/>
            </w:r>
            <w:r w:rsidR="00242912">
              <w:instrText xml:space="preserve"> HYPERLINK "mailto:project.officer@finance.gov.mv" </w:instrText>
            </w:r>
            <w:r w:rsidR="00242912">
              <w:fldChar w:fldCharType="separate"/>
            </w:r>
            <w:r w:rsidR="00242912">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431D351A" w:rsidR="00053952" w:rsidRPr="007413A8" w:rsidRDefault="00053952" w:rsidP="004220C1">
            <w:pPr>
              <w:tabs>
                <w:tab w:val="right" w:pos="7254"/>
              </w:tabs>
              <w:spacing w:before="120" w:after="120"/>
              <w:rPr>
                <w:b/>
                <w:bCs/>
                <w:szCs w:val="24"/>
              </w:rPr>
            </w:pPr>
            <w:r w:rsidRPr="00053952">
              <w:rPr>
                <w:b/>
                <w:bCs/>
                <w:szCs w:val="24"/>
              </w:rPr>
              <w:t>Date:</w:t>
            </w:r>
            <w:r w:rsidR="004220C1">
              <w:rPr>
                <w:b/>
                <w:bCs/>
                <w:color w:val="FF0000"/>
                <w:szCs w:val="24"/>
              </w:rPr>
              <w:t>10</w:t>
            </w:r>
            <w:r w:rsidR="004220C1" w:rsidRPr="004220C1">
              <w:rPr>
                <w:b/>
                <w:bCs/>
                <w:color w:val="FF0000"/>
                <w:szCs w:val="24"/>
                <w:vertAlign w:val="superscript"/>
              </w:rPr>
              <w:t>th</w:t>
            </w:r>
            <w:r w:rsidR="004220C1">
              <w:rPr>
                <w:b/>
                <w:bCs/>
                <w:color w:val="FF0000"/>
                <w:szCs w:val="24"/>
              </w:rPr>
              <w:t xml:space="preserve"> February</w:t>
            </w:r>
            <w:r w:rsidR="00912A74" w:rsidRPr="007413A8">
              <w:rPr>
                <w:b/>
                <w:bCs/>
                <w:color w:val="FF0000"/>
                <w:szCs w:val="24"/>
              </w:rPr>
              <w:t xml:space="preserve"> 201</w:t>
            </w:r>
            <w:r w:rsidR="004220C1">
              <w:rPr>
                <w:b/>
                <w:bCs/>
                <w:color w:val="FF0000"/>
                <w:szCs w:val="24"/>
              </w:rPr>
              <w:t>9</w:t>
            </w:r>
          </w:p>
          <w:p w14:paraId="10898C2C" w14:textId="36FEC011" w:rsidR="00053952" w:rsidRPr="00053952" w:rsidRDefault="00053952" w:rsidP="004220C1">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4220C1">
              <w:rPr>
                <w:b/>
                <w:bCs/>
                <w:color w:val="FF0000"/>
                <w:szCs w:val="24"/>
              </w:rPr>
              <w:t>1</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9443E9">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Mr.</w:t>
            </w:r>
            <w:proofErr w:type="spellEnd"/>
            <w:r w:rsidRPr="004A50A8">
              <w:rPr>
                <w:bCs/>
                <w:color w:val="auto"/>
                <w:szCs w:val="20"/>
                <w:lang w:val="en-GB"/>
              </w:rPr>
              <w:t xml:space="preserve"> Ahmed </w:t>
            </w:r>
            <w:proofErr w:type="spellStart"/>
            <w:r w:rsidRPr="004A50A8">
              <w:rPr>
                <w:bCs/>
                <w:color w:val="auto"/>
                <w:szCs w:val="20"/>
                <w:lang w:val="en-GB"/>
              </w:rPr>
              <w:t>Mujuthaba</w:t>
            </w:r>
            <w:proofErr w:type="spellEnd"/>
            <w:r w:rsidRPr="004A50A8">
              <w:rPr>
                <w:bCs/>
                <w:color w:val="auto"/>
                <w:szCs w:val="20"/>
                <w:lang w:val="en-GB"/>
              </w:rPr>
              <w:t>,</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02879915" w:rsidR="007413A8" w:rsidRPr="007413A8" w:rsidRDefault="007413A8" w:rsidP="004220C1">
            <w:pPr>
              <w:tabs>
                <w:tab w:val="right" w:pos="7254"/>
              </w:tabs>
              <w:spacing w:before="120" w:after="120"/>
              <w:rPr>
                <w:b/>
                <w:bCs/>
                <w:szCs w:val="24"/>
              </w:rPr>
            </w:pPr>
            <w:r w:rsidRPr="00053952">
              <w:rPr>
                <w:b/>
                <w:bCs/>
                <w:szCs w:val="24"/>
              </w:rPr>
              <w:t>Date:</w:t>
            </w:r>
            <w:r w:rsidR="004220C1">
              <w:rPr>
                <w:b/>
                <w:bCs/>
                <w:color w:val="FF0000"/>
                <w:szCs w:val="24"/>
              </w:rPr>
              <w:t>10</w:t>
            </w:r>
            <w:r w:rsidR="004220C1" w:rsidRPr="004220C1">
              <w:rPr>
                <w:b/>
                <w:bCs/>
                <w:color w:val="FF0000"/>
                <w:szCs w:val="24"/>
                <w:vertAlign w:val="superscript"/>
              </w:rPr>
              <w:t>th</w:t>
            </w:r>
            <w:r w:rsidR="004220C1">
              <w:rPr>
                <w:b/>
                <w:bCs/>
                <w:color w:val="FF0000"/>
                <w:szCs w:val="24"/>
              </w:rPr>
              <w:t xml:space="preserve"> February </w:t>
            </w:r>
            <w:r w:rsidRPr="007413A8">
              <w:rPr>
                <w:b/>
                <w:bCs/>
                <w:color w:val="FF0000"/>
                <w:szCs w:val="24"/>
              </w:rPr>
              <w:t xml:space="preserve"> 201</w:t>
            </w:r>
            <w:r w:rsidR="004220C1">
              <w:rPr>
                <w:b/>
                <w:bCs/>
                <w:color w:val="FF0000"/>
                <w:szCs w:val="24"/>
              </w:rPr>
              <w:t>9</w:t>
            </w:r>
          </w:p>
          <w:p w14:paraId="63E4D483" w14:textId="071C0E84" w:rsidR="003E4E20" w:rsidRPr="00053952" w:rsidRDefault="007413A8" w:rsidP="004220C1">
            <w:pPr>
              <w:tabs>
                <w:tab w:val="right" w:pos="7254"/>
              </w:tabs>
              <w:spacing w:after="120"/>
              <w:rPr>
                <w:sz w:val="23"/>
                <w:szCs w:val="23"/>
              </w:rPr>
            </w:pPr>
            <w:r w:rsidRPr="007413A8">
              <w:rPr>
                <w:b/>
                <w:bCs/>
                <w:szCs w:val="24"/>
              </w:rPr>
              <w:t xml:space="preserve">Time: </w:t>
            </w:r>
            <w:r w:rsidRPr="007413A8">
              <w:rPr>
                <w:b/>
                <w:bCs/>
                <w:color w:val="FF0000"/>
                <w:szCs w:val="24"/>
              </w:rPr>
              <w:t>1</w:t>
            </w:r>
            <w:r w:rsidR="004220C1">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3BD743B7" w:rsidR="008E1614" w:rsidRDefault="009E5D35" w:rsidP="004220C1">
            <w:pPr>
              <w:spacing w:line="276" w:lineRule="auto"/>
              <w:rPr>
                <w:sz w:val="20"/>
              </w:rPr>
            </w:pPr>
            <w:r w:rsidRPr="009E5D35">
              <w:rPr>
                <w:sz w:val="20"/>
              </w:rPr>
              <w:t xml:space="preserve">Minimum average annual turnover of </w:t>
            </w:r>
            <w:r w:rsidRPr="009E5D35">
              <w:rPr>
                <w:color w:val="FF0000"/>
                <w:sz w:val="20"/>
              </w:rPr>
              <w:t xml:space="preserve">MVR </w:t>
            </w:r>
            <w:r w:rsidR="004220C1">
              <w:rPr>
                <w:color w:val="FF0000"/>
                <w:sz w:val="20"/>
              </w:rPr>
              <w:t>11</w:t>
            </w:r>
            <w:r w:rsidRPr="009E5D35">
              <w:rPr>
                <w:color w:val="FF0000"/>
                <w:sz w:val="20"/>
              </w:rPr>
              <w:t>.</w:t>
            </w:r>
            <w:r w:rsidR="004220C1">
              <w:rPr>
                <w:color w:val="FF0000"/>
                <w:sz w:val="20"/>
              </w:rPr>
              <w:t>5</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04C4F4E9" w14:textId="1E1AA25F" w:rsidR="004220C1" w:rsidRDefault="009E5D35" w:rsidP="004220C1">
            <w:pPr>
              <w:spacing w:line="276" w:lineRule="auto"/>
              <w:rPr>
                <w:rFonts w:ascii="Calibri" w:hAnsi="Calibri"/>
                <w:color w:val="000000"/>
                <w:sz w:val="22"/>
                <w:szCs w:val="22"/>
              </w:rPr>
            </w:pPr>
            <w:r>
              <w:rPr>
                <w:sz w:val="20"/>
              </w:rPr>
              <w:t xml:space="preserve">MVR </w:t>
            </w:r>
            <w:r w:rsidR="004220C1" w:rsidRPr="004220C1">
              <w:rPr>
                <w:rFonts w:ascii="Calibri" w:hAnsi="Calibri"/>
                <w:color w:val="FF0000"/>
                <w:sz w:val="22"/>
                <w:szCs w:val="22"/>
              </w:rPr>
              <w:t xml:space="preserve">3,450,000.00 </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0B874BEB"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8,050,000.00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r w:rsidRPr="00052476">
              <w:rPr>
                <w:b/>
                <w:bCs/>
                <w:sz w:val="22"/>
                <w:szCs w:val="22"/>
              </w:rPr>
              <w:t>NOTE  TO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 xml:space="preserve">To: Ahmed </w:t>
      </w:r>
      <w:proofErr w:type="spellStart"/>
      <w:r w:rsidRPr="00E57878">
        <w:rPr>
          <w:sz w:val="22"/>
          <w:szCs w:val="22"/>
        </w:rPr>
        <w:t>Mujuthaba</w:t>
      </w:r>
      <w:proofErr w:type="spellEnd"/>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6F3673AB" w:rsidR="00F91E43" w:rsidRPr="00F91E43" w:rsidRDefault="00B473EF" w:rsidP="007226BE">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01</w:t>
      </w:r>
      <w:r>
        <w:rPr>
          <w:b/>
          <w:bCs/>
          <w:i/>
          <w:iCs/>
        </w:rPr>
        <w:t xml:space="preserve"> -</w:t>
      </w:r>
      <w:r>
        <w:t xml:space="preserve"> </w:t>
      </w:r>
      <w:r w:rsidRPr="00AB2CC0">
        <w:rPr>
          <w:b/>
          <w:bCs/>
          <w:i/>
          <w:iCs/>
        </w:rPr>
        <w:t xml:space="preserve">SUPPLY </w:t>
      </w:r>
      <w:r w:rsidR="007226BE">
        <w:rPr>
          <w:b/>
          <w:bCs/>
          <w:i/>
          <w:iCs/>
        </w:rPr>
        <w:t xml:space="preserve">AND DELIVERY </w:t>
      </w:r>
      <w:r w:rsidRPr="00AB2CC0">
        <w:rPr>
          <w:b/>
          <w:bCs/>
          <w:i/>
          <w:iCs/>
        </w:rPr>
        <w:t xml:space="preserve">OF </w:t>
      </w:r>
      <w:r w:rsidR="007226BE">
        <w:rPr>
          <w:b/>
          <w:bCs/>
          <w:i/>
          <w:iCs/>
        </w:rPr>
        <w:t>15 CARS</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303DEF75" w14:textId="0FE6B139" w:rsidR="00F427BF" w:rsidRPr="004958EB" w:rsidRDefault="00F91E43" w:rsidP="00F427BF">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tbl>
      <w:tblPr>
        <w:tblStyle w:val="TableGrid"/>
        <w:tblW w:w="9648" w:type="dxa"/>
        <w:tblInd w:w="421" w:type="dxa"/>
        <w:tblLook w:val="04A0" w:firstRow="1" w:lastRow="0" w:firstColumn="1" w:lastColumn="0" w:noHBand="0" w:noVBand="1"/>
      </w:tblPr>
      <w:tblGrid>
        <w:gridCol w:w="2538"/>
        <w:gridCol w:w="2250"/>
        <w:gridCol w:w="2700"/>
        <w:gridCol w:w="2160"/>
      </w:tblGrid>
      <w:tr w:rsidR="00F427BF" w14:paraId="3C97CEDD" w14:textId="77777777" w:rsidTr="00F427BF">
        <w:tc>
          <w:tcPr>
            <w:tcW w:w="2538" w:type="dxa"/>
          </w:tcPr>
          <w:p w14:paraId="65C52F7F" w14:textId="77777777" w:rsidR="00F427BF" w:rsidRPr="00F427BF" w:rsidRDefault="00F427BF" w:rsidP="00F427BF">
            <w:pPr>
              <w:pStyle w:val="ListParagraph"/>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250" w:type="dxa"/>
          </w:tcPr>
          <w:p w14:paraId="58BC04A2"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rStyle w:val="tgc"/>
                <w:b/>
                <w:bCs/>
                <w:sz w:val="22"/>
                <w:szCs w:val="18"/>
              </w:rPr>
              <w:t>Price</w:t>
            </w:r>
          </w:p>
        </w:tc>
        <w:tc>
          <w:tcPr>
            <w:tcW w:w="2700" w:type="dxa"/>
          </w:tcPr>
          <w:p w14:paraId="400AB177"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Goods and Services Tax (GST)</w:t>
            </w:r>
          </w:p>
        </w:tc>
        <w:tc>
          <w:tcPr>
            <w:tcW w:w="2160" w:type="dxa"/>
          </w:tcPr>
          <w:p w14:paraId="7546EA4F"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Total Price</w:t>
            </w:r>
          </w:p>
        </w:tc>
      </w:tr>
      <w:tr w:rsidR="00F427BF" w14:paraId="2E5538EB" w14:textId="77777777" w:rsidTr="00F427BF">
        <w:tc>
          <w:tcPr>
            <w:tcW w:w="2538" w:type="dxa"/>
          </w:tcPr>
          <w:p w14:paraId="26E7B8FF" w14:textId="7784FC72" w:rsidR="00F427BF" w:rsidRPr="00F427BF" w:rsidRDefault="00F427BF"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sidRPr="00F427BF">
              <w:rPr>
                <w:b/>
                <w:bCs/>
                <w:color w:val="000000" w:themeColor="text1"/>
                <w:spacing w:val="8"/>
                <w:sz w:val="22"/>
                <w:szCs w:val="18"/>
              </w:rPr>
              <w:t>Option 1</w:t>
            </w:r>
            <w:r>
              <w:rPr>
                <w:b/>
                <w:bCs/>
                <w:color w:val="000000" w:themeColor="text1"/>
                <w:spacing w:val="8"/>
                <w:sz w:val="22"/>
                <w:szCs w:val="18"/>
              </w:rPr>
              <w:t>-</w:t>
            </w:r>
            <w:r w:rsidRPr="00F427BF">
              <w:rPr>
                <w:b/>
                <w:bCs/>
                <w:color w:val="000000" w:themeColor="text1"/>
                <w:spacing w:val="8"/>
                <w:sz w:val="22"/>
                <w:szCs w:val="18"/>
              </w:rPr>
              <w:t xml:space="preserve"> With Import Duty</w:t>
            </w:r>
          </w:p>
        </w:tc>
        <w:tc>
          <w:tcPr>
            <w:tcW w:w="2250" w:type="dxa"/>
          </w:tcPr>
          <w:p w14:paraId="22B0D7C5"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75525ED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740CE90B"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F427BF" w14:paraId="7A5F196A" w14:textId="77777777" w:rsidTr="00F427BF">
        <w:tc>
          <w:tcPr>
            <w:tcW w:w="2538" w:type="dxa"/>
          </w:tcPr>
          <w:p w14:paraId="167554D5" w14:textId="759A7CA9" w:rsidR="00F427BF" w:rsidRPr="00F427BF" w:rsidRDefault="00F427BF"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sidRPr="00F427BF">
              <w:rPr>
                <w:b/>
                <w:bCs/>
                <w:color w:val="000000" w:themeColor="text1"/>
                <w:spacing w:val="8"/>
                <w:sz w:val="22"/>
                <w:szCs w:val="18"/>
              </w:rPr>
              <w:t>Option  2</w:t>
            </w:r>
            <w:r>
              <w:rPr>
                <w:b/>
                <w:bCs/>
                <w:color w:val="000000" w:themeColor="text1"/>
                <w:spacing w:val="8"/>
                <w:sz w:val="22"/>
                <w:szCs w:val="18"/>
              </w:rPr>
              <w:t>-</w:t>
            </w:r>
            <w:r w:rsidRPr="00F427BF">
              <w:rPr>
                <w:b/>
                <w:bCs/>
                <w:color w:val="000000" w:themeColor="text1"/>
                <w:spacing w:val="8"/>
                <w:sz w:val="22"/>
                <w:szCs w:val="18"/>
              </w:rPr>
              <w:t>Without Import Duty</w:t>
            </w:r>
          </w:p>
        </w:tc>
        <w:tc>
          <w:tcPr>
            <w:tcW w:w="2250" w:type="dxa"/>
          </w:tcPr>
          <w:p w14:paraId="2E443178"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092A840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3F174281"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bl>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tbl>
      <w:tblPr>
        <w:tblW w:w="15041"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DF68F8">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79" w:name="_Toc234131430"/>
            <w:bookmarkStart w:id="380" w:name="_Toc488411755"/>
            <w:bookmarkStart w:id="381" w:name="_Toc438266926"/>
            <w:bookmarkStart w:id="382" w:name="_Toc438267900"/>
            <w:bookmarkStart w:id="383" w:name="_Toc438366668"/>
            <w:bookmarkStart w:id="384"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5" w:name="_Toc458817149"/>
            <w:r w:rsidRPr="008B66E1">
              <w:t>1.  List of Goods and Delivery Schedule</w:t>
            </w:r>
            <w:bookmarkEnd w:id="385"/>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0CD22267" w:rsidR="00DF68F8" w:rsidRPr="008B66E1" w:rsidRDefault="00DF68F8" w:rsidP="00DF68F8">
            <w:pPr>
              <w:spacing w:after="200"/>
              <w:jc w:val="center"/>
              <w:rPr>
                <w:i/>
                <w:iCs/>
              </w:rPr>
            </w:pPr>
            <w:r w:rsidRPr="00DF68F8">
              <w:rPr>
                <w:b/>
                <w:bCs/>
                <w:i/>
                <w:iCs/>
              </w:rPr>
              <w:t>(</w:t>
            </w:r>
            <w:r>
              <w:rPr>
                <w:i/>
                <w:iCs/>
              </w:rPr>
              <w:t xml:space="preserve"> </w:t>
            </w:r>
            <w:r w:rsidRPr="00F427BF">
              <w:rPr>
                <w:b/>
                <w:bCs/>
                <w:color w:val="000000" w:themeColor="text1"/>
                <w:spacing w:val="8"/>
                <w:sz w:val="20"/>
              </w:rPr>
              <w:t>Option 1 – With Import Duty</w:t>
            </w:r>
            <w:r>
              <w:rPr>
                <w:b/>
                <w:bCs/>
                <w:color w:val="000000" w:themeColor="text1"/>
                <w:spacing w:val="8"/>
                <w:sz w:val="20"/>
              </w:rPr>
              <w:t>)</w:t>
            </w:r>
          </w:p>
        </w:tc>
      </w:tr>
      <w:tr w:rsidR="00DF68F8" w:rsidRPr="008B66E1" w14:paraId="10E99B80" w14:textId="77777777" w:rsidTr="00DF68F8">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DF68F8">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DF68F8">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60212ED4" w:rsidR="00DF68F8" w:rsidRPr="009C01F4" w:rsidRDefault="00DF68F8" w:rsidP="00DF68F8">
            <w:r w:rsidRPr="00DF68F8">
              <w:rPr>
                <w:sz w:val="22"/>
                <w:szCs w:val="18"/>
              </w:rPr>
              <w:t>Supply and Delivery of Cars</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proofErr w:type="spellStart"/>
            <w:r>
              <w:rPr>
                <w:sz w:val="22"/>
                <w:szCs w:val="22"/>
              </w:rPr>
              <w:t>Nos</w:t>
            </w:r>
            <w:proofErr w:type="spellEnd"/>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1266BF0C" w:rsidR="00DF68F8" w:rsidRPr="008B66E1" w:rsidRDefault="00DF68F8" w:rsidP="00DF68F8">
            <w:pPr>
              <w:jc w:val="center"/>
              <w:rPr>
                <w:sz w:val="20"/>
              </w:rPr>
            </w:pPr>
            <w:r>
              <w:t>15</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r w:rsidR="00F427BF" w:rsidRPr="008B66E1" w14:paraId="760CA1D1" w14:textId="77777777" w:rsidTr="00DF68F8">
        <w:trPr>
          <w:cantSplit/>
          <w:trHeight w:val="237"/>
        </w:trPr>
        <w:tc>
          <w:tcPr>
            <w:tcW w:w="1139" w:type="dxa"/>
            <w:tcBorders>
              <w:top w:val="single" w:sz="4" w:space="0" w:color="auto"/>
              <w:left w:val="double" w:sz="4" w:space="0" w:color="auto"/>
              <w:bottom w:val="single" w:sz="4" w:space="0" w:color="auto"/>
              <w:right w:val="single" w:sz="4" w:space="0" w:color="auto"/>
            </w:tcBorders>
            <w:vAlign w:val="center"/>
          </w:tcPr>
          <w:p w14:paraId="46DA52F8" w14:textId="77777777" w:rsidR="00F427BF" w:rsidRDefault="00F427BF" w:rsidP="00FB29EF"/>
        </w:tc>
        <w:tc>
          <w:tcPr>
            <w:tcW w:w="2022" w:type="dxa"/>
            <w:gridSpan w:val="2"/>
            <w:tcBorders>
              <w:top w:val="single" w:sz="4" w:space="0" w:color="auto"/>
              <w:left w:val="single" w:sz="4" w:space="0" w:color="auto"/>
              <w:bottom w:val="single" w:sz="4" w:space="0" w:color="auto"/>
              <w:right w:val="single" w:sz="4" w:space="0" w:color="auto"/>
            </w:tcBorders>
          </w:tcPr>
          <w:p w14:paraId="40ADBD73" w14:textId="77777777" w:rsidR="00F427BF" w:rsidRPr="009C01F4" w:rsidRDefault="00F427BF" w:rsidP="00FB29EF"/>
        </w:tc>
        <w:tc>
          <w:tcPr>
            <w:tcW w:w="1065" w:type="dxa"/>
            <w:tcBorders>
              <w:top w:val="single" w:sz="4" w:space="0" w:color="auto"/>
              <w:left w:val="single" w:sz="4" w:space="0" w:color="auto"/>
              <w:bottom w:val="single" w:sz="4" w:space="0" w:color="auto"/>
              <w:right w:val="single" w:sz="4" w:space="0" w:color="auto"/>
            </w:tcBorders>
          </w:tcPr>
          <w:p w14:paraId="6449B7F2" w14:textId="77777777" w:rsidR="00F427BF" w:rsidRPr="00D5017C" w:rsidRDefault="00F427BF" w:rsidP="00FB29EF">
            <w:pPr>
              <w:jc w:val="right"/>
            </w:pPr>
          </w:p>
        </w:tc>
        <w:tc>
          <w:tcPr>
            <w:tcW w:w="1065" w:type="dxa"/>
            <w:tcBorders>
              <w:top w:val="single" w:sz="4" w:space="0" w:color="auto"/>
              <w:left w:val="single" w:sz="4" w:space="0" w:color="auto"/>
              <w:bottom w:val="single" w:sz="4" w:space="0" w:color="auto"/>
              <w:right w:val="single" w:sz="4" w:space="0" w:color="auto"/>
            </w:tcBorders>
            <w:vAlign w:val="center"/>
          </w:tcPr>
          <w:p w14:paraId="7B22B094" w14:textId="77777777" w:rsidR="00F427BF" w:rsidRPr="008B66E1" w:rsidRDefault="00F427BF" w:rsidP="00FB29EF"/>
        </w:tc>
        <w:tc>
          <w:tcPr>
            <w:tcW w:w="1440" w:type="dxa"/>
            <w:tcBorders>
              <w:top w:val="single" w:sz="4" w:space="0" w:color="auto"/>
              <w:left w:val="single" w:sz="4" w:space="0" w:color="auto"/>
              <w:bottom w:val="single" w:sz="4" w:space="0" w:color="auto"/>
              <w:right w:val="single" w:sz="4" w:space="0" w:color="auto"/>
            </w:tcBorders>
          </w:tcPr>
          <w:p w14:paraId="7CDD0CA8" w14:textId="77777777" w:rsidR="00F427BF" w:rsidRPr="005909A2" w:rsidRDefault="00F427BF" w:rsidP="00FB29EF">
            <w:pPr>
              <w:rPr>
                <w:sz w:val="20"/>
                <w:szCs w:val="16"/>
              </w:rPr>
            </w:pPr>
          </w:p>
        </w:tc>
        <w:tc>
          <w:tcPr>
            <w:tcW w:w="1095" w:type="dxa"/>
            <w:tcBorders>
              <w:left w:val="single" w:sz="4" w:space="0" w:color="auto"/>
              <w:right w:val="single" w:sz="4" w:space="0" w:color="auto"/>
            </w:tcBorders>
          </w:tcPr>
          <w:p w14:paraId="1551580F" w14:textId="77777777" w:rsidR="00F427BF" w:rsidRPr="008B66E1" w:rsidRDefault="00F427BF" w:rsidP="00FB29EF">
            <w:pPr>
              <w:jc w:val="center"/>
            </w:pPr>
          </w:p>
        </w:tc>
        <w:tc>
          <w:tcPr>
            <w:tcW w:w="1680" w:type="dxa"/>
            <w:tcBorders>
              <w:left w:val="single" w:sz="4" w:space="0" w:color="auto"/>
              <w:right w:val="single" w:sz="4" w:space="0" w:color="auto"/>
            </w:tcBorders>
          </w:tcPr>
          <w:p w14:paraId="35BE546D" w14:textId="77777777" w:rsidR="00F427BF" w:rsidRPr="008B66E1" w:rsidRDefault="00F427BF" w:rsidP="00FB29EF">
            <w:pPr>
              <w:jc w:val="center"/>
            </w:pPr>
          </w:p>
        </w:tc>
        <w:tc>
          <w:tcPr>
            <w:tcW w:w="975" w:type="dxa"/>
            <w:tcBorders>
              <w:left w:val="single" w:sz="4" w:space="0" w:color="auto"/>
              <w:right w:val="single" w:sz="4" w:space="0" w:color="auto"/>
            </w:tcBorders>
            <w:vAlign w:val="center"/>
          </w:tcPr>
          <w:p w14:paraId="473B82A4" w14:textId="487B1AC2" w:rsidR="00F427BF" w:rsidRPr="008B66E1" w:rsidRDefault="00F427BF" w:rsidP="00FB29EF">
            <w:pPr>
              <w:jc w:val="center"/>
            </w:pPr>
          </w:p>
        </w:tc>
        <w:tc>
          <w:tcPr>
            <w:tcW w:w="1695" w:type="dxa"/>
            <w:tcBorders>
              <w:left w:val="single" w:sz="4" w:space="0" w:color="auto"/>
              <w:right w:val="single" w:sz="4" w:space="0" w:color="auto"/>
            </w:tcBorders>
          </w:tcPr>
          <w:p w14:paraId="510F9FEC" w14:textId="77777777" w:rsidR="00F427BF" w:rsidRPr="005909A2" w:rsidRDefault="00F427BF" w:rsidP="00FB29EF">
            <w:pPr>
              <w:rPr>
                <w:sz w:val="20"/>
                <w:szCs w:val="16"/>
              </w:rPr>
            </w:pPr>
          </w:p>
        </w:tc>
        <w:tc>
          <w:tcPr>
            <w:tcW w:w="2865" w:type="dxa"/>
            <w:gridSpan w:val="2"/>
            <w:tcBorders>
              <w:left w:val="single" w:sz="4" w:space="0" w:color="auto"/>
              <w:right w:val="double" w:sz="4" w:space="0" w:color="auto"/>
            </w:tcBorders>
            <w:vAlign w:val="center"/>
          </w:tcPr>
          <w:p w14:paraId="5F771279" w14:textId="77777777" w:rsidR="00F427BF" w:rsidRPr="008B66E1" w:rsidRDefault="00F427BF" w:rsidP="00FB29EF"/>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tbl>
      <w:tblPr>
        <w:tblW w:w="14963"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1975"/>
        <w:gridCol w:w="1060"/>
        <w:gridCol w:w="1165"/>
        <w:gridCol w:w="1435"/>
        <w:gridCol w:w="1075"/>
        <w:gridCol w:w="1610"/>
        <w:gridCol w:w="1075"/>
        <w:gridCol w:w="497"/>
        <w:gridCol w:w="1118"/>
        <w:gridCol w:w="2895"/>
      </w:tblGrid>
      <w:tr w:rsidR="00DF68F8" w:rsidRPr="008B66E1" w14:paraId="47DFB8B9" w14:textId="77777777" w:rsidTr="00DF68F8">
        <w:trPr>
          <w:gridAfter w:val="2"/>
          <w:wAfter w:w="4013" w:type="dxa"/>
          <w:cantSplit/>
          <w:trHeight w:val="1137"/>
        </w:trPr>
        <w:tc>
          <w:tcPr>
            <w:tcW w:w="1058" w:type="dxa"/>
            <w:tcBorders>
              <w:top w:val="nil"/>
              <w:left w:val="nil"/>
              <w:bottom w:val="double" w:sz="4" w:space="0" w:color="auto"/>
              <w:right w:val="nil"/>
            </w:tcBorders>
          </w:tcPr>
          <w:p w14:paraId="622A5E0F" w14:textId="77777777" w:rsidR="00DF68F8" w:rsidRPr="00DF68F8" w:rsidRDefault="00DF68F8" w:rsidP="00DF68F8">
            <w:pPr>
              <w:spacing w:after="200"/>
              <w:jc w:val="center"/>
              <w:rPr>
                <w:b/>
                <w:bCs/>
                <w:i/>
                <w:iCs/>
              </w:rPr>
            </w:pPr>
          </w:p>
        </w:tc>
        <w:tc>
          <w:tcPr>
            <w:tcW w:w="9892" w:type="dxa"/>
            <w:gridSpan w:val="8"/>
            <w:tcBorders>
              <w:top w:val="nil"/>
              <w:left w:val="nil"/>
              <w:bottom w:val="double" w:sz="4" w:space="0" w:color="auto"/>
              <w:right w:val="nil"/>
            </w:tcBorders>
            <w:vAlign w:val="center"/>
          </w:tcPr>
          <w:p w14:paraId="40E90E8B" w14:textId="49AF38FF" w:rsidR="00DF68F8" w:rsidRPr="008B66E1" w:rsidRDefault="00DF68F8" w:rsidP="00DF68F8">
            <w:pPr>
              <w:spacing w:after="200"/>
              <w:jc w:val="center"/>
              <w:rPr>
                <w:i/>
                <w:iCs/>
              </w:rPr>
            </w:pPr>
            <w:r w:rsidRPr="00DF68F8">
              <w:rPr>
                <w:b/>
                <w:bCs/>
                <w:i/>
                <w:iCs/>
              </w:rPr>
              <w:t>(</w:t>
            </w:r>
            <w:r>
              <w:rPr>
                <w:i/>
                <w:iCs/>
              </w:rPr>
              <w:t xml:space="preserve"> </w:t>
            </w:r>
            <w:r w:rsidRPr="00F427BF">
              <w:rPr>
                <w:b/>
                <w:bCs/>
                <w:color w:val="000000" w:themeColor="text1"/>
                <w:spacing w:val="8"/>
                <w:sz w:val="20"/>
              </w:rPr>
              <w:t xml:space="preserve">Option </w:t>
            </w:r>
            <w:r>
              <w:rPr>
                <w:b/>
                <w:bCs/>
                <w:color w:val="000000" w:themeColor="text1"/>
                <w:spacing w:val="8"/>
                <w:sz w:val="20"/>
              </w:rPr>
              <w:t>2</w:t>
            </w:r>
            <w:r w:rsidRPr="00F427BF">
              <w:rPr>
                <w:b/>
                <w:bCs/>
                <w:color w:val="000000" w:themeColor="text1"/>
                <w:spacing w:val="8"/>
                <w:sz w:val="20"/>
              </w:rPr>
              <w:t xml:space="preserve"> – With Import Duty</w:t>
            </w:r>
            <w:r>
              <w:rPr>
                <w:b/>
                <w:bCs/>
                <w:color w:val="000000" w:themeColor="text1"/>
                <w:spacing w:val="8"/>
                <w:sz w:val="20"/>
              </w:rPr>
              <w:t>)</w:t>
            </w:r>
          </w:p>
        </w:tc>
      </w:tr>
      <w:tr w:rsidR="00DF68F8" w:rsidRPr="00F427BF" w14:paraId="393AF54A" w14:textId="77777777" w:rsidTr="00DF68F8">
        <w:trPr>
          <w:cantSplit/>
          <w:trHeight w:val="178"/>
        </w:trPr>
        <w:tc>
          <w:tcPr>
            <w:tcW w:w="1058" w:type="dxa"/>
            <w:vMerge w:val="restart"/>
            <w:tcBorders>
              <w:top w:val="double" w:sz="4" w:space="0" w:color="auto"/>
              <w:left w:val="single" w:sz="4" w:space="0" w:color="auto"/>
              <w:right w:val="single" w:sz="4" w:space="0" w:color="auto"/>
            </w:tcBorders>
            <w:vAlign w:val="center"/>
          </w:tcPr>
          <w:p w14:paraId="0537AD8A" w14:textId="77777777" w:rsidR="00DF68F8" w:rsidRPr="00F427BF" w:rsidRDefault="00DF68F8" w:rsidP="00DF68F8">
            <w:pPr>
              <w:suppressAutoHyphens/>
              <w:spacing w:before="60"/>
              <w:jc w:val="center"/>
              <w:rPr>
                <w:b/>
                <w:bCs/>
                <w:sz w:val="20"/>
              </w:rPr>
            </w:pPr>
            <w:r w:rsidRPr="00F427BF">
              <w:rPr>
                <w:b/>
                <w:bCs/>
                <w:sz w:val="20"/>
              </w:rPr>
              <w:t>Line Item</w:t>
            </w:r>
          </w:p>
          <w:p w14:paraId="2D0D27DD" w14:textId="44094001" w:rsidR="00DF68F8" w:rsidRPr="00F427BF" w:rsidRDefault="00DF68F8" w:rsidP="00DF68F8">
            <w:pPr>
              <w:suppressAutoHyphens/>
              <w:spacing w:before="60"/>
              <w:jc w:val="center"/>
              <w:rPr>
                <w:b/>
                <w:bCs/>
                <w:sz w:val="20"/>
              </w:rPr>
            </w:pPr>
            <w:r w:rsidRPr="00F427BF">
              <w:rPr>
                <w:b/>
                <w:bCs/>
                <w:sz w:val="20"/>
              </w:rPr>
              <w:t>No</w:t>
            </w:r>
          </w:p>
        </w:tc>
        <w:tc>
          <w:tcPr>
            <w:tcW w:w="1975" w:type="dxa"/>
            <w:vMerge w:val="restart"/>
            <w:tcBorders>
              <w:top w:val="double" w:sz="4" w:space="0" w:color="auto"/>
              <w:left w:val="single" w:sz="4" w:space="0" w:color="auto"/>
              <w:right w:val="single" w:sz="4" w:space="0" w:color="auto"/>
            </w:tcBorders>
            <w:vAlign w:val="center"/>
          </w:tcPr>
          <w:p w14:paraId="6CBE5CF5" w14:textId="0E6753F9" w:rsidR="00DF68F8" w:rsidRPr="00F427BF" w:rsidRDefault="00DF68F8" w:rsidP="00DF68F8">
            <w:pPr>
              <w:suppressAutoHyphens/>
              <w:spacing w:before="60"/>
              <w:jc w:val="center"/>
              <w:rPr>
                <w:b/>
                <w:bCs/>
                <w:sz w:val="20"/>
              </w:rPr>
            </w:pPr>
            <w:r w:rsidRPr="00F427BF">
              <w:rPr>
                <w:b/>
                <w:bCs/>
                <w:sz w:val="20"/>
              </w:rPr>
              <w:t>Description of Goods</w:t>
            </w:r>
          </w:p>
          <w:p w14:paraId="5E011558" w14:textId="77777777" w:rsidR="00DF68F8" w:rsidRPr="00F427BF" w:rsidRDefault="00DF68F8" w:rsidP="00DF68F8">
            <w:pPr>
              <w:suppressAutoHyphens/>
              <w:spacing w:before="60"/>
              <w:jc w:val="center"/>
              <w:rPr>
                <w:b/>
                <w:bCs/>
                <w:sz w:val="20"/>
              </w:rPr>
            </w:pPr>
          </w:p>
        </w:tc>
        <w:tc>
          <w:tcPr>
            <w:tcW w:w="1060" w:type="dxa"/>
            <w:vMerge w:val="restart"/>
            <w:tcBorders>
              <w:top w:val="double" w:sz="4" w:space="0" w:color="auto"/>
              <w:left w:val="single" w:sz="4" w:space="0" w:color="auto"/>
              <w:right w:val="single" w:sz="4" w:space="0" w:color="auto"/>
            </w:tcBorders>
            <w:vAlign w:val="center"/>
          </w:tcPr>
          <w:p w14:paraId="6A9CB200" w14:textId="3FD4C04D" w:rsidR="00DF68F8" w:rsidRPr="00F427BF" w:rsidRDefault="00DF68F8" w:rsidP="00DF68F8">
            <w:pPr>
              <w:suppressAutoHyphens/>
              <w:spacing w:before="60"/>
              <w:jc w:val="center"/>
              <w:rPr>
                <w:b/>
                <w:bCs/>
                <w:sz w:val="20"/>
              </w:rPr>
            </w:pPr>
            <w:r w:rsidRPr="00F427BF">
              <w:rPr>
                <w:b/>
                <w:bCs/>
                <w:sz w:val="20"/>
              </w:rPr>
              <w:t>Physical Unit</w:t>
            </w:r>
          </w:p>
        </w:tc>
        <w:tc>
          <w:tcPr>
            <w:tcW w:w="1165" w:type="dxa"/>
            <w:vMerge w:val="restart"/>
            <w:tcBorders>
              <w:top w:val="double" w:sz="4" w:space="0" w:color="auto"/>
              <w:left w:val="single" w:sz="4" w:space="0" w:color="auto"/>
              <w:right w:val="single" w:sz="4" w:space="0" w:color="auto"/>
            </w:tcBorders>
            <w:vAlign w:val="center"/>
          </w:tcPr>
          <w:p w14:paraId="18658C75" w14:textId="509E2746" w:rsidR="00DF68F8" w:rsidRPr="00F427BF" w:rsidRDefault="00DF68F8" w:rsidP="00DF68F8">
            <w:pPr>
              <w:suppressAutoHyphens/>
              <w:spacing w:before="60"/>
              <w:jc w:val="center"/>
              <w:rPr>
                <w:b/>
                <w:bCs/>
                <w:sz w:val="20"/>
              </w:rPr>
            </w:pPr>
            <w:r w:rsidRPr="00F427BF">
              <w:rPr>
                <w:b/>
                <w:bCs/>
                <w:sz w:val="20"/>
              </w:rPr>
              <w:t>Quantity</w:t>
            </w:r>
          </w:p>
        </w:tc>
        <w:tc>
          <w:tcPr>
            <w:tcW w:w="1435" w:type="dxa"/>
            <w:vMerge w:val="restart"/>
            <w:tcBorders>
              <w:top w:val="double" w:sz="4" w:space="0" w:color="auto"/>
              <w:left w:val="single" w:sz="4" w:space="0" w:color="auto"/>
              <w:right w:val="single" w:sz="4" w:space="0" w:color="auto"/>
            </w:tcBorders>
            <w:vAlign w:val="center"/>
          </w:tcPr>
          <w:p w14:paraId="0ACA31E9" w14:textId="77777777" w:rsidR="00DF68F8" w:rsidRPr="00F427BF" w:rsidRDefault="00DF68F8" w:rsidP="00DF68F8">
            <w:pPr>
              <w:spacing w:before="60"/>
              <w:jc w:val="center"/>
              <w:rPr>
                <w:b/>
                <w:bCs/>
                <w:sz w:val="20"/>
              </w:rPr>
            </w:pPr>
            <w:r>
              <w:rPr>
                <w:b/>
                <w:bCs/>
                <w:color w:val="000000" w:themeColor="text1"/>
                <w:spacing w:val="8"/>
                <w:sz w:val="20"/>
              </w:rPr>
              <w:t>Rate</w:t>
            </w:r>
          </w:p>
        </w:tc>
        <w:tc>
          <w:tcPr>
            <w:tcW w:w="1075" w:type="dxa"/>
            <w:vMerge w:val="restart"/>
            <w:tcBorders>
              <w:top w:val="double" w:sz="4" w:space="0" w:color="auto"/>
              <w:left w:val="single" w:sz="4" w:space="0" w:color="auto"/>
              <w:right w:val="single" w:sz="4" w:space="0" w:color="auto"/>
            </w:tcBorders>
            <w:vAlign w:val="center"/>
          </w:tcPr>
          <w:p w14:paraId="09E95D1D" w14:textId="77777777" w:rsidR="00DF68F8" w:rsidRPr="00F427BF" w:rsidRDefault="00DF68F8" w:rsidP="00DF68F8">
            <w:pPr>
              <w:spacing w:before="60" w:after="60"/>
              <w:jc w:val="center"/>
              <w:rPr>
                <w:b/>
                <w:bCs/>
                <w:sz w:val="20"/>
              </w:rPr>
            </w:pPr>
            <w:r>
              <w:rPr>
                <w:b/>
                <w:bCs/>
                <w:sz w:val="20"/>
              </w:rPr>
              <w:t>Total</w:t>
            </w:r>
          </w:p>
        </w:tc>
        <w:tc>
          <w:tcPr>
            <w:tcW w:w="1610" w:type="dxa"/>
            <w:vMerge w:val="restart"/>
            <w:tcBorders>
              <w:top w:val="double" w:sz="4" w:space="0" w:color="auto"/>
              <w:left w:val="single" w:sz="4" w:space="0" w:color="auto"/>
              <w:right w:val="single" w:sz="4" w:space="0" w:color="auto"/>
            </w:tcBorders>
            <w:vAlign w:val="center"/>
          </w:tcPr>
          <w:p w14:paraId="58A5CE1E" w14:textId="77777777"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85" w:type="dxa"/>
            <w:gridSpan w:val="4"/>
            <w:tcBorders>
              <w:top w:val="double" w:sz="4" w:space="0" w:color="auto"/>
              <w:left w:val="single" w:sz="4" w:space="0" w:color="auto"/>
              <w:bottom w:val="single" w:sz="4" w:space="0" w:color="auto"/>
              <w:right w:val="double" w:sz="4" w:space="0" w:color="auto"/>
            </w:tcBorders>
            <w:vAlign w:val="center"/>
          </w:tcPr>
          <w:p w14:paraId="6BE131A8" w14:textId="77777777" w:rsidR="00DF68F8" w:rsidRPr="00F427BF" w:rsidRDefault="00DF68F8" w:rsidP="00DF68F8">
            <w:pPr>
              <w:spacing w:before="60" w:after="60"/>
              <w:jc w:val="center"/>
              <w:rPr>
                <w:sz w:val="20"/>
              </w:rPr>
            </w:pPr>
            <w:r w:rsidRPr="00F427BF">
              <w:rPr>
                <w:b/>
                <w:bCs/>
                <w:sz w:val="20"/>
              </w:rPr>
              <w:t>Delivery  (as per Incoterms) Date</w:t>
            </w:r>
          </w:p>
        </w:tc>
      </w:tr>
      <w:tr w:rsidR="00DF68F8" w:rsidRPr="00F427BF" w14:paraId="11BE73F6" w14:textId="77777777" w:rsidTr="00DF68F8">
        <w:trPr>
          <w:cantSplit/>
          <w:trHeight w:val="178"/>
        </w:trPr>
        <w:tc>
          <w:tcPr>
            <w:tcW w:w="1058" w:type="dxa"/>
            <w:vMerge/>
            <w:tcBorders>
              <w:left w:val="single" w:sz="4" w:space="0" w:color="auto"/>
              <w:bottom w:val="single" w:sz="4" w:space="0" w:color="auto"/>
              <w:right w:val="single" w:sz="4" w:space="0" w:color="auto"/>
            </w:tcBorders>
            <w:vAlign w:val="center"/>
          </w:tcPr>
          <w:p w14:paraId="77E7C002" w14:textId="77777777" w:rsidR="00DF68F8" w:rsidRPr="00F427BF" w:rsidRDefault="00DF68F8" w:rsidP="00DF68F8">
            <w:pPr>
              <w:suppressAutoHyphens/>
              <w:jc w:val="center"/>
              <w:rPr>
                <w:sz w:val="20"/>
              </w:rPr>
            </w:pPr>
          </w:p>
        </w:tc>
        <w:tc>
          <w:tcPr>
            <w:tcW w:w="1975" w:type="dxa"/>
            <w:vMerge/>
            <w:tcBorders>
              <w:left w:val="single" w:sz="4" w:space="0" w:color="auto"/>
              <w:bottom w:val="single" w:sz="4" w:space="0" w:color="auto"/>
              <w:right w:val="single" w:sz="4" w:space="0" w:color="auto"/>
            </w:tcBorders>
            <w:vAlign w:val="center"/>
          </w:tcPr>
          <w:p w14:paraId="25E0EA15" w14:textId="6CBF09CC" w:rsidR="00DF68F8" w:rsidRPr="00F427BF" w:rsidRDefault="00DF68F8" w:rsidP="00DF68F8">
            <w:pPr>
              <w:suppressAutoHyphens/>
              <w:jc w:val="center"/>
              <w:rPr>
                <w:sz w:val="20"/>
              </w:rPr>
            </w:pPr>
          </w:p>
        </w:tc>
        <w:tc>
          <w:tcPr>
            <w:tcW w:w="1060" w:type="dxa"/>
            <w:vMerge/>
            <w:tcBorders>
              <w:left w:val="single" w:sz="4" w:space="0" w:color="auto"/>
              <w:bottom w:val="single" w:sz="4" w:space="0" w:color="auto"/>
              <w:right w:val="single" w:sz="4" w:space="0" w:color="auto"/>
            </w:tcBorders>
            <w:vAlign w:val="center"/>
          </w:tcPr>
          <w:p w14:paraId="4080E512" w14:textId="77777777" w:rsidR="00DF68F8" w:rsidRPr="00F427BF" w:rsidRDefault="00DF68F8" w:rsidP="00DF68F8">
            <w:pPr>
              <w:suppressAutoHyphens/>
              <w:jc w:val="center"/>
              <w:rPr>
                <w:sz w:val="20"/>
              </w:rPr>
            </w:pPr>
          </w:p>
        </w:tc>
        <w:tc>
          <w:tcPr>
            <w:tcW w:w="1165" w:type="dxa"/>
            <w:vMerge/>
            <w:tcBorders>
              <w:left w:val="single" w:sz="4" w:space="0" w:color="auto"/>
              <w:bottom w:val="single" w:sz="4" w:space="0" w:color="auto"/>
              <w:right w:val="single" w:sz="4" w:space="0" w:color="auto"/>
            </w:tcBorders>
            <w:vAlign w:val="center"/>
          </w:tcPr>
          <w:p w14:paraId="2BE0BB48" w14:textId="77777777" w:rsidR="00DF68F8" w:rsidRPr="00F427BF" w:rsidRDefault="00DF68F8" w:rsidP="00DF68F8">
            <w:pPr>
              <w:suppressAutoHyphens/>
              <w:jc w:val="center"/>
              <w:rPr>
                <w:sz w:val="20"/>
              </w:rPr>
            </w:pPr>
          </w:p>
        </w:tc>
        <w:tc>
          <w:tcPr>
            <w:tcW w:w="1435" w:type="dxa"/>
            <w:vMerge/>
            <w:tcBorders>
              <w:left w:val="single" w:sz="4" w:space="0" w:color="auto"/>
              <w:bottom w:val="single" w:sz="4" w:space="0" w:color="auto"/>
              <w:right w:val="single" w:sz="4" w:space="0" w:color="auto"/>
            </w:tcBorders>
            <w:vAlign w:val="center"/>
          </w:tcPr>
          <w:p w14:paraId="677D8787" w14:textId="77777777" w:rsidR="00DF68F8" w:rsidRPr="00F427BF" w:rsidRDefault="00DF68F8" w:rsidP="00DF68F8">
            <w:pPr>
              <w:jc w:val="center"/>
              <w:rPr>
                <w:sz w:val="20"/>
              </w:rPr>
            </w:pPr>
          </w:p>
        </w:tc>
        <w:tc>
          <w:tcPr>
            <w:tcW w:w="1075" w:type="dxa"/>
            <w:vMerge/>
            <w:tcBorders>
              <w:left w:val="single" w:sz="4" w:space="0" w:color="auto"/>
              <w:right w:val="single" w:sz="4" w:space="0" w:color="auto"/>
            </w:tcBorders>
            <w:vAlign w:val="center"/>
          </w:tcPr>
          <w:p w14:paraId="55C54618" w14:textId="77777777" w:rsidR="00DF68F8" w:rsidRPr="00F427BF" w:rsidRDefault="00DF68F8" w:rsidP="00DF68F8">
            <w:pPr>
              <w:spacing w:before="60" w:after="60"/>
              <w:jc w:val="center"/>
              <w:rPr>
                <w:b/>
                <w:bCs/>
                <w:sz w:val="20"/>
              </w:rPr>
            </w:pPr>
          </w:p>
        </w:tc>
        <w:tc>
          <w:tcPr>
            <w:tcW w:w="1610" w:type="dxa"/>
            <w:vMerge/>
            <w:tcBorders>
              <w:left w:val="single" w:sz="4" w:space="0" w:color="auto"/>
              <w:right w:val="single" w:sz="4" w:space="0" w:color="auto"/>
            </w:tcBorders>
            <w:vAlign w:val="center"/>
          </w:tcPr>
          <w:p w14:paraId="0C1EF0D2" w14:textId="77777777" w:rsidR="00DF68F8" w:rsidRPr="00F427BF" w:rsidRDefault="00DF68F8" w:rsidP="00DF68F8">
            <w:pPr>
              <w:spacing w:before="60" w:after="60"/>
              <w:jc w:val="center"/>
              <w:rPr>
                <w:b/>
                <w:bCs/>
                <w:sz w:val="20"/>
              </w:rPr>
            </w:pPr>
          </w:p>
        </w:tc>
        <w:tc>
          <w:tcPr>
            <w:tcW w:w="1075" w:type="dxa"/>
            <w:tcBorders>
              <w:top w:val="single" w:sz="4" w:space="0" w:color="auto"/>
              <w:left w:val="single" w:sz="4" w:space="0" w:color="auto"/>
              <w:right w:val="single" w:sz="4" w:space="0" w:color="auto"/>
            </w:tcBorders>
            <w:vAlign w:val="center"/>
          </w:tcPr>
          <w:p w14:paraId="1A09638F" w14:textId="77777777" w:rsidR="00DF68F8" w:rsidRPr="00F427BF" w:rsidRDefault="00DF68F8" w:rsidP="00DF68F8">
            <w:pPr>
              <w:spacing w:before="60" w:after="60"/>
              <w:jc w:val="center"/>
              <w:rPr>
                <w:b/>
                <w:bCs/>
                <w:sz w:val="20"/>
              </w:rPr>
            </w:pPr>
            <w:r w:rsidRPr="00F427BF">
              <w:rPr>
                <w:b/>
                <w:bCs/>
                <w:sz w:val="20"/>
              </w:rPr>
              <w:t>Earliest Delivery Date</w:t>
            </w:r>
          </w:p>
        </w:tc>
        <w:tc>
          <w:tcPr>
            <w:tcW w:w="1615" w:type="dxa"/>
            <w:gridSpan w:val="2"/>
            <w:tcBorders>
              <w:top w:val="single" w:sz="4" w:space="0" w:color="auto"/>
              <w:left w:val="single" w:sz="4" w:space="0" w:color="auto"/>
              <w:right w:val="single" w:sz="4" w:space="0" w:color="auto"/>
            </w:tcBorders>
            <w:vAlign w:val="center"/>
          </w:tcPr>
          <w:p w14:paraId="753D326C" w14:textId="77777777" w:rsidR="00DF68F8" w:rsidRPr="00F427BF" w:rsidRDefault="00DF68F8" w:rsidP="00DF68F8">
            <w:pPr>
              <w:spacing w:before="60" w:after="60"/>
              <w:jc w:val="center"/>
              <w:rPr>
                <w:b/>
                <w:bCs/>
                <w:sz w:val="20"/>
              </w:rPr>
            </w:pPr>
            <w:r w:rsidRPr="00F427BF">
              <w:rPr>
                <w:b/>
                <w:bCs/>
                <w:sz w:val="20"/>
              </w:rPr>
              <w:t>Latest Delivery Date</w:t>
            </w:r>
          </w:p>
          <w:p w14:paraId="47C45265" w14:textId="77777777" w:rsidR="00DF68F8" w:rsidRPr="00F427BF" w:rsidRDefault="00DF68F8" w:rsidP="00DF68F8">
            <w:pPr>
              <w:spacing w:before="60" w:after="60"/>
              <w:jc w:val="center"/>
              <w:rPr>
                <w:b/>
                <w:bCs/>
                <w:sz w:val="20"/>
              </w:rPr>
            </w:pPr>
          </w:p>
        </w:tc>
        <w:tc>
          <w:tcPr>
            <w:tcW w:w="2895" w:type="dxa"/>
            <w:tcBorders>
              <w:top w:val="single" w:sz="4" w:space="0" w:color="auto"/>
              <w:left w:val="single" w:sz="4" w:space="0" w:color="auto"/>
              <w:bottom w:val="single" w:sz="4" w:space="0" w:color="auto"/>
              <w:right w:val="double" w:sz="4" w:space="0" w:color="auto"/>
            </w:tcBorders>
            <w:vAlign w:val="center"/>
          </w:tcPr>
          <w:p w14:paraId="5199BB97"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5C3B3CAF" w14:textId="77777777" w:rsidTr="00DF68F8">
        <w:trPr>
          <w:cantSplit/>
          <w:trHeight w:val="334"/>
        </w:trPr>
        <w:tc>
          <w:tcPr>
            <w:tcW w:w="1058" w:type="dxa"/>
            <w:tcBorders>
              <w:top w:val="single" w:sz="4" w:space="0" w:color="auto"/>
              <w:left w:val="single" w:sz="4" w:space="0" w:color="auto"/>
              <w:bottom w:val="single" w:sz="4" w:space="0" w:color="auto"/>
              <w:right w:val="single" w:sz="4" w:space="0" w:color="auto"/>
            </w:tcBorders>
            <w:vAlign w:val="center"/>
          </w:tcPr>
          <w:p w14:paraId="61F806C3" w14:textId="31E93B09" w:rsidR="00DF68F8" w:rsidRDefault="00DF68F8" w:rsidP="00DF68F8">
            <w:r w:rsidRPr="008B66E1">
              <w:t>1</w:t>
            </w:r>
          </w:p>
        </w:tc>
        <w:tc>
          <w:tcPr>
            <w:tcW w:w="1975" w:type="dxa"/>
            <w:tcBorders>
              <w:top w:val="single" w:sz="4" w:space="0" w:color="auto"/>
              <w:left w:val="single" w:sz="4" w:space="0" w:color="auto"/>
              <w:bottom w:val="single" w:sz="4" w:space="0" w:color="auto"/>
              <w:right w:val="single" w:sz="4" w:space="0" w:color="auto"/>
            </w:tcBorders>
            <w:vAlign w:val="center"/>
          </w:tcPr>
          <w:p w14:paraId="5273719E" w14:textId="10BDF1F5" w:rsidR="00DF68F8" w:rsidRPr="009C01F4" w:rsidRDefault="00DF68F8" w:rsidP="00DF68F8">
            <w:r w:rsidRPr="00DF68F8">
              <w:rPr>
                <w:sz w:val="22"/>
                <w:szCs w:val="18"/>
              </w:rPr>
              <w:t>Supply and Delivery of Cars</w:t>
            </w:r>
          </w:p>
        </w:tc>
        <w:tc>
          <w:tcPr>
            <w:tcW w:w="1060" w:type="dxa"/>
            <w:tcBorders>
              <w:top w:val="single" w:sz="4" w:space="0" w:color="auto"/>
              <w:left w:val="single" w:sz="4" w:space="0" w:color="auto"/>
              <w:bottom w:val="single" w:sz="4" w:space="0" w:color="auto"/>
              <w:right w:val="single" w:sz="4" w:space="0" w:color="auto"/>
            </w:tcBorders>
            <w:vAlign w:val="center"/>
          </w:tcPr>
          <w:p w14:paraId="31DA9EA7" w14:textId="7F7F4B82" w:rsidR="00DF68F8" w:rsidRPr="00D5017C" w:rsidRDefault="00DF68F8" w:rsidP="00DF68F8">
            <w:pPr>
              <w:jc w:val="center"/>
            </w:pPr>
            <w:proofErr w:type="spellStart"/>
            <w:r>
              <w:rPr>
                <w:sz w:val="22"/>
                <w:szCs w:val="22"/>
              </w:rPr>
              <w:t>Nos</w:t>
            </w:r>
            <w:proofErr w:type="spellEnd"/>
          </w:p>
        </w:tc>
        <w:tc>
          <w:tcPr>
            <w:tcW w:w="1165" w:type="dxa"/>
            <w:tcBorders>
              <w:top w:val="single" w:sz="4" w:space="0" w:color="auto"/>
              <w:left w:val="single" w:sz="4" w:space="0" w:color="auto"/>
              <w:bottom w:val="single" w:sz="4" w:space="0" w:color="auto"/>
              <w:right w:val="single" w:sz="4" w:space="0" w:color="auto"/>
            </w:tcBorders>
            <w:vAlign w:val="center"/>
          </w:tcPr>
          <w:p w14:paraId="2B0547DB" w14:textId="14F43A64" w:rsidR="00DF68F8" w:rsidRPr="008B66E1" w:rsidRDefault="00DF68F8" w:rsidP="00DF68F8">
            <w:pPr>
              <w:jc w:val="center"/>
              <w:rPr>
                <w:sz w:val="20"/>
              </w:rPr>
            </w:pPr>
            <w:r>
              <w:t>15</w:t>
            </w:r>
          </w:p>
        </w:tc>
        <w:tc>
          <w:tcPr>
            <w:tcW w:w="1435" w:type="dxa"/>
            <w:tcBorders>
              <w:top w:val="single" w:sz="4" w:space="0" w:color="auto"/>
              <w:left w:val="single" w:sz="4" w:space="0" w:color="auto"/>
              <w:bottom w:val="single" w:sz="4" w:space="0" w:color="auto"/>
              <w:right w:val="single" w:sz="4" w:space="0" w:color="auto"/>
            </w:tcBorders>
            <w:vAlign w:val="center"/>
          </w:tcPr>
          <w:p w14:paraId="04A27893" w14:textId="77777777" w:rsidR="00DF68F8" w:rsidRPr="00370D63" w:rsidRDefault="00DF68F8" w:rsidP="00DF68F8">
            <w:pPr>
              <w:jc w:val="center"/>
              <w:rPr>
                <w:sz w:val="20"/>
                <w:szCs w:val="16"/>
                <w:highlight w:val="yellow"/>
              </w:rPr>
            </w:pPr>
          </w:p>
        </w:tc>
        <w:tc>
          <w:tcPr>
            <w:tcW w:w="1075" w:type="dxa"/>
            <w:tcBorders>
              <w:left w:val="single" w:sz="4" w:space="0" w:color="auto"/>
              <w:right w:val="single" w:sz="4" w:space="0" w:color="auto"/>
            </w:tcBorders>
          </w:tcPr>
          <w:p w14:paraId="67F854F9" w14:textId="77777777" w:rsidR="00DF68F8" w:rsidRPr="008B66E1" w:rsidRDefault="00DF68F8" w:rsidP="00DF68F8">
            <w:pPr>
              <w:jc w:val="center"/>
            </w:pPr>
          </w:p>
        </w:tc>
        <w:tc>
          <w:tcPr>
            <w:tcW w:w="1610" w:type="dxa"/>
            <w:tcBorders>
              <w:left w:val="single" w:sz="4" w:space="0" w:color="auto"/>
              <w:right w:val="single" w:sz="4" w:space="0" w:color="auto"/>
            </w:tcBorders>
          </w:tcPr>
          <w:p w14:paraId="3CE0CFCA" w14:textId="77777777" w:rsidR="00DF68F8" w:rsidRPr="008B66E1" w:rsidRDefault="00DF68F8" w:rsidP="00DF68F8">
            <w:pPr>
              <w:jc w:val="center"/>
            </w:pPr>
            <w:r w:rsidRPr="005909A2">
              <w:rPr>
                <w:sz w:val="20"/>
                <w:szCs w:val="16"/>
              </w:rPr>
              <w:t>Refer delivery schedule</w:t>
            </w:r>
          </w:p>
        </w:tc>
        <w:tc>
          <w:tcPr>
            <w:tcW w:w="1075" w:type="dxa"/>
            <w:tcBorders>
              <w:left w:val="single" w:sz="4" w:space="0" w:color="auto"/>
              <w:right w:val="single" w:sz="4" w:space="0" w:color="auto"/>
            </w:tcBorders>
            <w:vAlign w:val="center"/>
          </w:tcPr>
          <w:p w14:paraId="1790517A" w14:textId="77777777" w:rsidR="00DF68F8" w:rsidRPr="008B66E1" w:rsidRDefault="00DF68F8" w:rsidP="00DF68F8">
            <w:pPr>
              <w:jc w:val="center"/>
            </w:pPr>
            <w:r w:rsidRPr="008B66E1">
              <w:t>-</w:t>
            </w:r>
          </w:p>
        </w:tc>
        <w:tc>
          <w:tcPr>
            <w:tcW w:w="1615" w:type="dxa"/>
            <w:gridSpan w:val="2"/>
            <w:tcBorders>
              <w:left w:val="single" w:sz="4" w:space="0" w:color="auto"/>
              <w:right w:val="single" w:sz="4" w:space="0" w:color="auto"/>
            </w:tcBorders>
            <w:vAlign w:val="center"/>
          </w:tcPr>
          <w:p w14:paraId="169267AD" w14:textId="77777777" w:rsidR="00DF68F8" w:rsidRPr="005909A2" w:rsidRDefault="00DF68F8" w:rsidP="00DF68F8">
            <w:pPr>
              <w:jc w:val="center"/>
              <w:rPr>
                <w:sz w:val="20"/>
                <w:szCs w:val="16"/>
              </w:rPr>
            </w:pPr>
            <w:r w:rsidRPr="005909A2">
              <w:rPr>
                <w:sz w:val="20"/>
                <w:szCs w:val="16"/>
              </w:rPr>
              <w:t>Refer delivery schedule</w:t>
            </w:r>
          </w:p>
        </w:tc>
        <w:tc>
          <w:tcPr>
            <w:tcW w:w="2895" w:type="dxa"/>
            <w:tcBorders>
              <w:left w:val="single" w:sz="4" w:space="0" w:color="auto"/>
              <w:right w:val="double" w:sz="4" w:space="0" w:color="auto"/>
            </w:tcBorders>
            <w:vAlign w:val="center"/>
          </w:tcPr>
          <w:p w14:paraId="09A00DBA" w14:textId="77777777" w:rsidR="00DF68F8" w:rsidRPr="008B66E1" w:rsidRDefault="00DF68F8" w:rsidP="00DF68F8">
            <w:pPr>
              <w:jc w:val="center"/>
            </w:pPr>
          </w:p>
        </w:tc>
      </w:tr>
      <w:tr w:rsidR="00DF68F8" w:rsidRPr="008B66E1" w14:paraId="51269980" w14:textId="77777777" w:rsidTr="00DF68F8">
        <w:trPr>
          <w:cantSplit/>
          <w:trHeight w:val="203"/>
        </w:trPr>
        <w:tc>
          <w:tcPr>
            <w:tcW w:w="1058" w:type="dxa"/>
            <w:tcBorders>
              <w:top w:val="single" w:sz="4" w:space="0" w:color="auto"/>
              <w:left w:val="single" w:sz="4" w:space="0" w:color="auto"/>
              <w:bottom w:val="single" w:sz="4" w:space="0" w:color="auto"/>
              <w:right w:val="single" w:sz="4" w:space="0" w:color="auto"/>
            </w:tcBorders>
          </w:tcPr>
          <w:p w14:paraId="3F1D0D25" w14:textId="77777777" w:rsidR="00DF68F8" w:rsidRPr="009C01F4" w:rsidRDefault="00DF68F8" w:rsidP="00DF68F8"/>
        </w:tc>
        <w:tc>
          <w:tcPr>
            <w:tcW w:w="1975" w:type="dxa"/>
            <w:tcBorders>
              <w:top w:val="single" w:sz="4" w:space="0" w:color="auto"/>
              <w:left w:val="single" w:sz="4" w:space="0" w:color="auto"/>
              <w:bottom w:val="single" w:sz="4" w:space="0" w:color="auto"/>
              <w:right w:val="single" w:sz="4" w:space="0" w:color="auto"/>
            </w:tcBorders>
          </w:tcPr>
          <w:p w14:paraId="6793F48A" w14:textId="032860FA" w:rsidR="00DF68F8" w:rsidRPr="009C01F4" w:rsidRDefault="00DF68F8" w:rsidP="00DF68F8"/>
        </w:tc>
        <w:tc>
          <w:tcPr>
            <w:tcW w:w="1060" w:type="dxa"/>
            <w:tcBorders>
              <w:top w:val="single" w:sz="4" w:space="0" w:color="auto"/>
              <w:left w:val="single" w:sz="4" w:space="0" w:color="auto"/>
              <w:bottom w:val="single" w:sz="4" w:space="0" w:color="auto"/>
              <w:right w:val="single" w:sz="4" w:space="0" w:color="auto"/>
            </w:tcBorders>
          </w:tcPr>
          <w:p w14:paraId="321952B6" w14:textId="77777777" w:rsidR="00DF68F8" w:rsidRPr="00D5017C" w:rsidRDefault="00DF68F8" w:rsidP="00DF68F8">
            <w:pPr>
              <w:jc w:val="right"/>
            </w:pPr>
          </w:p>
        </w:tc>
        <w:tc>
          <w:tcPr>
            <w:tcW w:w="1165" w:type="dxa"/>
            <w:tcBorders>
              <w:top w:val="single" w:sz="4" w:space="0" w:color="auto"/>
              <w:left w:val="single" w:sz="4" w:space="0" w:color="auto"/>
              <w:bottom w:val="single" w:sz="4" w:space="0" w:color="auto"/>
              <w:right w:val="single" w:sz="4" w:space="0" w:color="auto"/>
            </w:tcBorders>
            <w:vAlign w:val="center"/>
          </w:tcPr>
          <w:p w14:paraId="1086DE45" w14:textId="77777777" w:rsidR="00DF68F8" w:rsidRPr="008B66E1" w:rsidRDefault="00DF68F8" w:rsidP="00DF68F8"/>
        </w:tc>
        <w:tc>
          <w:tcPr>
            <w:tcW w:w="1435" w:type="dxa"/>
            <w:tcBorders>
              <w:top w:val="single" w:sz="4" w:space="0" w:color="auto"/>
              <w:left w:val="single" w:sz="4" w:space="0" w:color="auto"/>
              <w:bottom w:val="single" w:sz="4" w:space="0" w:color="auto"/>
              <w:right w:val="single" w:sz="4" w:space="0" w:color="auto"/>
            </w:tcBorders>
          </w:tcPr>
          <w:p w14:paraId="2109C1DA" w14:textId="77777777" w:rsidR="00DF68F8" w:rsidRPr="005909A2" w:rsidRDefault="00DF68F8" w:rsidP="00DF68F8">
            <w:pPr>
              <w:rPr>
                <w:sz w:val="20"/>
                <w:szCs w:val="16"/>
              </w:rPr>
            </w:pPr>
          </w:p>
        </w:tc>
        <w:tc>
          <w:tcPr>
            <w:tcW w:w="1075" w:type="dxa"/>
            <w:tcBorders>
              <w:left w:val="single" w:sz="4" w:space="0" w:color="auto"/>
              <w:right w:val="single" w:sz="4" w:space="0" w:color="auto"/>
            </w:tcBorders>
          </w:tcPr>
          <w:p w14:paraId="0E5E984C" w14:textId="77777777" w:rsidR="00DF68F8" w:rsidRPr="008B66E1" w:rsidRDefault="00DF68F8" w:rsidP="00DF68F8">
            <w:pPr>
              <w:jc w:val="center"/>
            </w:pPr>
          </w:p>
        </w:tc>
        <w:tc>
          <w:tcPr>
            <w:tcW w:w="1610" w:type="dxa"/>
            <w:tcBorders>
              <w:left w:val="single" w:sz="4" w:space="0" w:color="auto"/>
              <w:right w:val="single" w:sz="4" w:space="0" w:color="auto"/>
            </w:tcBorders>
          </w:tcPr>
          <w:p w14:paraId="5E0555C1" w14:textId="77777777" w:rsidR="00DF68F8" w:rsidRPr="008B66E1" w:rsidRDefault="00DF68F8" w:rsidP="00DF68F8">
            <w:pPr>
              <w:jc w:val="center"/>
            </w:pPr>
          </w:p>
        </w:tc>
        <w:tc>
          <w:tcPr>
            <w:tcW w:w="1075" w:type="dxa"/>
            <w:tcBorders>
              <w:left w:val="single" w:sz="4" w:space="0" w:color="auto"/>
              <w:right w:val="single" w:sz="4" w:space="0" w:color="auto"/>
            </w:tcBorders>
            <w:vAlign w:val="center"/>
          </w:tcPr>
          <w:p w14:paraId="0DB7A528" w14:textId="77777777" w:rsidR="00DF68F8" w:rsidRPr="008B66E1" w:rsidRDefault="00DF68F8" w:rsidP="00DF68F8">
            <w:pPr>
              <w:jc w:val="center"/>
            </w:pPr>
          </w:p>
        </w:tc>
        <w:tc>
          <w:tcPr>
            <w:tcW w:w="1615" w:type="dxa"/>
            <w:gridSpan w:val="2"/>
            <w:tcBorders>
              <w:left w:val="single" w:sz="4" w:space="0" w:color="auto"/>
              <w:right w:val="single" w:sz="4" w:space="0" w:color="auto"/>
            </w:tcBorders>
          </w:tcPr>
          <w:p w14:paraId="5947B36A" w14:textId="77777777" w:rsidR="00DF68F8" w:rsidRPr="005909A2" w:rsidRDefault="00DF68F8" w:rsidP="00DF68F8">
            <w:pPr>
              <w:rPr>
                <w:sz w:val="20"/>
                <w:szCs w:val="16"/>
              </w:rPr>
            </w:pPr>
          </w:p>
        </w:tc>
        <w:tc>
          <w:tcPr>
            <w:tcW w:w="2895" w:type="dxa"/>
            <w:tcBorders>
              <w:left w:val="single" w:sz="4" w:space="0" w:color="auto"/>
              <w:right w:val="double" w:sz="4" w:space="0" w:color="auto"/>
            </w:tcBorders>
            <w:vAlign w:val="center"/>
          </w:tcPr>
          <w:p w14:paraId="2EBAD914" w14:textId="77777777" w:rsidR="00DF68F8" w:rsidRPr="008B66E1" w:rsidRDefault="00DF68F8" w:rsidP="00DF68F8"/>
        </w:tc>
      </w:tr>
    </w:tbl>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08464303" w14:textId="77777777" w:rsidR="00AB2791" w:rsidRDefault="00AB2791" w:rsidP="00FB29EF">
      <w:pPr>
        <w:ind w:left="2880" w:hanging="2880"/>
        <w:rPr>
          <w:b/>
          <w:bCs/>
          <w:sz w:val="28"/>
          <w:szCs w:val="28"/>
          <w:u w:val="single"/>
        </w:rPr>
      </w:pPr>
    </w:p>
    <w:p w14:paraId="0C72C21D" w14:textId="77777777" w:rsidR="00FB29EF" w:rsidRDefault="00FB29EF" w:rsidP="00FB29EF">
      <w:pPr>
        <w:ind w:left="2880" w:hanging="2880"/>
        <w:rPr>
          <w:b/>
          <w:bCs/>
          <w:sz w:val="28"/>
          <w:szCs w:val="28"/>
          <w:u w:val="single"/>
        </w:rPr>
      </w:pPr>
    </w:p>
    <w:p w14:paraId="298D8317" w14:textId="77777777" w:rsidR="00FB29EF" w:rsidRDefault="00FB29EF" w:rsidP="00FB29EF">
      <w:pPr>
        <w:ind w:left="2880" w:hanging="2880"/>
        <w:rPr>
          <w:b/>
          <w:bCs/>
          <w:sz w:val="28"/>
          <w:szCs w:val="28"/>
          <w:u w:val="single"/>
        </w:rPr>
      </w:pPr>
    </w:p>
    <w:p w14:paraId="34EAD7CE" w14:textId="77777777" w:rsidR="00FB29EF" w:rsidRDefault="00FB29EF" w:rsidP="00FB29EF">
      <w:pPr>
        <w:ind w:left="2880" w:hanging="2880"/>
        <w:rPr>
          <w:b/>
          <w:bCs/>
          <w:sz w:val="28"/>
          <w:szCs w:val="28"/>
          <w:u w:val="single"/>
        </w:rPr>
      </w:pPr>
    </w:p>
    <w:p w14:paraId="3065DA7F" w14:textId="77777777" w:rsidR="00FB29EF" w:rsidRDefault="00FB29EF" w:rsidP="00FB29EF">
      <w:pPr>
        <w:rPr>
          <w:b/>
          <w:bCs/>
          <w:sz w:val="28"/>
          <w:szCs w:val="28"/>
          <w:u w:val="single"/>
        </w:rPr>
      </w:pPr>
    </w:p>
    <w:p w14:paraId="4E7BF9C0" w14:textId="77777777" w:rsidR="00FB29EF" w:rsidRPr="00E267F1" w:rsidRDefault="00FB29EF" w:rsidP="00FB29EF">
      <w:pPr>
        <w:ind w:left="2880" w:hanging="2880"/>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06E016C6" w:rsidR="00FB29EF" w:rsidRPr="00E267F1" w:rsidRDefault="00FB29EF" w:rsidP="007226BE">
      <w:pPr>
        <w:ind w:left="2790" w:hanging="2880"/>
        <w:rPr>
          <w:b/>
          <w:bCs/>
          <w:szCs w:val="24"/>
        </w:rPr>
      </w:pPr>
      <w:r w:rsidRPr="00E267F1">
        <w:rPr>
          <w:b/>
          <w:bCs/>
          <w:szCs w:val="24"/>
        </w:rPr>
        <w:t xml:space="preserve">First delivery date: Materials for the following sites to be delivered within </w:t>
      </w:r>
      <w:r w:rsidR="007226BE" w:rsidRPr="00E267F1">
        <w:rPr>
          <w:b/>
          <w:bCs/>
          <w:szCs w:val="24"/>
        </w:rPr>
        <w:t>12</w:t>
      </w:r>
      <w:r w:rsidRPr="00E267F1">
        <w:rPr>
          <w:b/>
          <w:bCs/>
          <w:szCs w:val="24"/>
        </w:rPr>
        <w:t>0 days from award of contract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FB29EF">
        <w:trPr>
          <w:trHeight w:val="260"/>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FB29EF">
            <w:pPr>
              <w:jc w:val="center"/>
              <w:rPr>
                <w:spacing w:val="8"/>
              </w:rPr>
            </w:pPr>
            <w:r w:rsidRPr="00E267F1">
              <w:rPr>
                <w:spacing w:val="8"/>
              </w:rPr>
              <w:t>Item</w:t>
            </w:r>
          </w:p>
          <w:p w14:paraId="6A22D596" w14:textId="77777777" w:rsidR="00FB29EF" w:rsidRPr="00E267F1" w:rsidRDefault="00FB29EF" w:rsidP="00FB29EF">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FB29EF">
        <w:trPr>
          <w:cantSplit/>
          <w:trHeight w:val="332"/>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FB29EF">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6B9C906A" w:rsidR="00FB29EF" w:rsidRPr="00E267F1" w:rsidRDefault="00E267F1" w:rsidP="00FB29EF">
            <w:pPr>
              <w:jc w:val="center"/>
              <w:rPr>
                <w:sz w:val="20"/>
                <w:szCs w:val="16"/>
              </w:rPr>
            </w:pPr>
            <w:r w:rsidRPr="00E267F1">
              <w:rPr>
                <w:sz w:val="20"/>
                <w:szCs w:val="16"/>
              </w:rPr>
              <w:t>Ministry of Finance,</w:t>
            </w:r>
            <w:r>
              <w:rPr>
                <w:sz w:val="20"/>
                <w:szCs w:val="16"/>
              </w:rPr>
              <w:t xml:space="preserve"> </w:t>
            </w:r>
            <w:r w:rsidRPr="00E267F1">
              <w:rPr>
                <w:sz w:val="20"/>
                <w:szCs w:val="16"/>
              </w:rPr>
              <w:t>Male</w:t>
            </w:r>
            <w:r>
              <w:rPr>
                <w:sz w:val="20"/>
                <w:szCs w:val="16"/>
              </w:rPr>
              <w:t>’</w:t>
            </w:r>
          </w:p>
        </w:tc>
      </w:tr>
      <w:tr w:rsidR="00FB29EF" w:rsidRPr="00675776" w14:paraId="2DDF45D6" w14:textId="77777777" w:rsidTr="00FB29EF">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34CF34DD" w:rsidR="00FB29EF" w:rsidRPr="00E267F1" w:rsidRDefault="007226BE" w:rsidP="007226BE">
            <w:r w:rsidRPr="00E267F1">
              <w:t>Supply and delivery of  Cars</w:t>
            </w:r>
          </w:p>
        </w:tc>
        <w:tc>
          <w:tcPr>
            <w:tcW w:w="1134" w:type="dxa"/>
            <w:vAlign w:val="center"/>
          </w:tcPr>
          <w:p w14:paraId="70E54E4C" w14:textId="77777777" w:rsidR="00FB29EF" w:rsidRPr="00E267F1" w:rsidRDefault="00FB29EF" w:rsidP="00FB29EF">
            <w:pPr>
              <w:jc w:val="center"/>
            </w:pPr>
            <w:proofErr w:type="spellStart"/>
            <w:r w:rsidRPr="00E267F1">
              <w:t>Nos</w:t>
            </w:r>
            <w:proofErr w:type="spellEnd"/>
          </w:p>
        </w:tc>
        <w:tc>
          <w:tcPr>
            <w:tcW w:w="3969" w:type="dxa"/>
            <w:vAlign w:val="center"/>
          </w:tcPr>
          <w:p w14:paraId="27F99BEB" w14:textId="08D9929D" w:rsidR="00FB29EF" w:rsidRPr="008B66E1" w:rsidRDefault="007226BE" w:rsidP="00FB29EF">
            <w:pPr>
              <w:jc w:val="center"/>
              <w:rPr>
                <w:sz w:val="20"/>
              </w:rPr>
            </w:pPr>
            <w:r w:rsidRPr="00E267F1">
              <w:rPr>
                <w:sz w:val="22"/>
                <w:szCs w:val="22"/>
              </w:rPr>
              <w:t>15</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01B5B50E" w14:textId="77777777" w:rsidR="00FB29EF" w:rsidRDefault="00FB29EF" w:rsidP="00FB29EF"/>
    <w:p w14:paraId="32EF78E2" w14:textId="77777777" w:rsidR="00FB29EF" w:rsidRDefault="00FB29EF" w:rsidP="00FB29EF"/>
    <w:p w14:paraId="27FD42AF" w14:textId="77777777" w:rsidR="00FB29EF" w:rsidRDefault="00FB29EF" w:rsidP="00FB29EF"/>
    <w:p w14:paraId="39F3F01E" w14:textId="77777777" w:rsidR="00FB29EF" w:rsidRDefault="00FB29EF" w:rsidP="00FB29EF"/>
    <w:p w14:paraId="5E4F7FBF" w14:textId="77777777" w:rsidR="00FB29EF" w:rsidRDefault="00FB29EF" w:rsidP="00FB29EF"/>
    <w:p w14:paraId="2AE49BDA" w14:textId="77777777" w:rsidR="00FB29EF" w:rsidRDefault="00FB29EF" w:rsidP="00FB29EF"/>
    <w:p w14:paraId="0A8587C2" w14:textId="77777777" w:rsidR="00AB2791" w:rsidRDefault="00AB2791" w:rsidP="00FB29EF"/>
    <w:p w14:paraId="3FB5E3C2" w14:textId="77777777" w:rsidR="00AB2791" w:rsidRDefault="00AB2791" w:rsidP="00FB29EF"/>
    <w:p w14:paraId="7527E02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br w:type="page"/>
            </w:r>
            <w:bookmarkStart w:id="386" w:name="_Toc234132717"/>
            <w:bookmarkStart w:id="387" w:name="_Toc458817150"/>
            <w:r w:rsidRPr="002351D0">
              <w:t>2.</w:t>
            </w:r>
            <w:r w:rsidRPr="002351D0">
              <w:tab/>
              <w:t>List of Related Services and Completion Schedule</w:t>
            </w:r>
            <w:bookmarkEnd w:id="386"/>
            <w:bookmarkEnd w:id="38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4911B1" w:rsidR="00FB29EF" w:rsidRPr="00F504C8" w:rsidRDefault="00F504C8" w:rsidP="00F504C8">
            <w:pPr>
              <w:pStyle w:val="Outline"/>
              <w:spacing w:before="60" w:after="60"/>
              <w:rPr>
                <w:kern w:val="0"/>
              </w:rPr>
            </w:pPr>
            <w:r w:rsidRPr="00F504C8">
              <w:rPr>
                <w:kern w:val="0"/>
              </w:rPr>
              <w:t>36 Months Full Services</w:t>
            </w:r>
            <w:r>
              <w:rPr>
                <w:kern w:val="0"/>
              </w:rPr>
              <w:t xml:space="preserve"> </w:t>
            </w:r>
            <w:r w:rsidRPr="00EA6C76">
              <w:rPr>
                <w:kern w:val="0"/>
              </w:rPr>
              <w:t>(Car should be serviced every 3 months)</w:t>
            </w: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79"/>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t>have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 xml:space="preserve">Signed:……………..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r>
        <w:t xml:space="preserve">Name:……………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0"/>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t xml:space="preserve">as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1"/>
    <w:bookmarkEnd w:id="382"/>
    <w:bookmarkEnd w:id="383"/>
    <w:bookmarkEnd w:id="38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407CCBDB" w14:textId="77777777" w:rsidR="00EA6C76" w:rsidRPr="00EA6C76" w:rsidRDefault="00EA6C76" w:rsidP="00EA6C76">
      <w:pPr>
        <w:pStyle w:val="Outline"/>
        <w:rPr>
          <w:b/>
          <w:bCs/>
          <w:kern w:val="0"/>
          <w:u w:val="single"/>
        </w:rPr>
      </w:pPr>
      <w:r w:rsidRPr="00EA6C76">
        <w:rPr>
          <w:b/>
          <w:bCs/>
          <w:kern w:val="0"/>
          <w:u w:val="single"/>
        </w:rPr>
        <w:lastRenderedPageBreak/>
        <w:t>Technical Specification for Brand New Car</w:t>
      </w:r>
    </w:p>
    <w:p w14:paraId="0EA56CCC" w14:textId="77777777" w:rsidR="00EA6C76" w:rsidRPr="00EA6C76" w:rsidRDefault="00EA6C76" w:rsidP="00EA6C76">
      <w:pPr>
        <w:pStyle w:val="Outline"/>
        <w:rPr>
          <w:kern w:val="0"/>
        </w:rPr>
      </w:pPr>
      <w:r w:rsidRPr="00EA6C76">
        <w:rPr>
          <w:kern w:val="0"/>
        </w:rPr>
        <w:t>1.</w:t>
      </w:r>
      <w:r w:rsidRPr="00EA6C76">
        <w:rPr>
          <w:kern w:val="0"/>
        </w:rPr>
        <w:tab/>
        <w:t>Year 2017/2018 Model</w:t>
      </w:r>
    </w:p>
    <w:p w14:paraId="7B4B9896" w14:textId="77777777" w:rsidR="00EA6C76" w:rsidRPr="00EA6C76" w:rsidRDefault="00EA6C76" w:rsidP="00EA6C76">
      <w:pPr>
        <w:pStyle w:val="Outline"/>
        <w:rPr>
          <w:kern w:val="0"/>
        </w:rPr>
      </w:pPr>
      <w:r w:rsidRPr="00EA6C76">
        <w:rPr>
          <w:kern w:val="0"/>
        </w:rPr>
        <w:t>2.</w:t>
      </w:r>
      <w:r w:rsidRPr="00EA6C76">
        <w:rPr>
          <w:kern w:val="0"/>
        </w:rPr>
        <w:tab/>
        <w:t>4 Door Sedan</w:t>
      </w:r>
    </w:p>
    <w:p w14:paraId="1E29A177" w14:textId="77777777" w:rsidR="00EA6C76" w:rsidRPr="00EA6C76" w:rsidRDefault="00EA6C76" w:rsidP="00EA6C76">
      <w:pPr>
        <w:pStyle w:val="Outline"/>
        <w:rPr>
          <w:kern w:val="0"/>
        </w:rPr>
      </w:pPr>
      <w:r w:rsidRPr="00EA6C76">
        <w:rPr>
          <w:kern w:val="0"/>
        </w:rPr>
        <w:t>3.</w:t>
      </w:r>
      <w:r w:rsidRPr="00EA6C76">
        <w:rPr>
          <w:kern w:val="0"/>
        </w:rPr>
        <w:tab/>
        <w:t>1400cc or higher</w:t>
      </w:r>
    </w:p>
    <w:p w14:paraId="3E240628" w14:textId="77777777" w:rsidR="00EA6C76" w:rsidRPr="00EA6C76" w:rsidRDefault="00EA6C76" w:rsidP="00EA6C76">
      <w:pPr>
        <w:pStyle w:val="Outline"/>
        <w:rPr>
          <w:kern w:val="0"/>
        </w:rPr>
      </w:pPr>
      <w:r w:rsidRPr="00EA6C76">
        <w:rPr>
          <w:kern w:val="0"/>
        </w:rPr>
        <w:t>4.</w:t>
      </w:r>
      <w:r w:rsidRPr="00EA6C76">
        <w:rPr>
          <w:kern w:val="0"/>
        </w:rPr>
        <w:tab/>
        <w:t>Fuel Type: Petrol , Electronically controlled fuel injection</w:t>
      </w:r>
    </w:p>
    <w:p w14:paraId="070D01A7" w14:textId="77777777" w:rsidR="00EA6C76" w:rsidRPr="00EA6C76" w:rsidRDefault="00EA6C76" w:rsidP="00EA6C76">
      <w:pPr>
        <w:pStyle w:val="Outline"/>
        <w:rPr>
          <w:kern w:val="0"/>
        </w:rPr>
      </w:pPr>
      <w:r w:rsidRPr="00EA6C76">
        <w:rPr>
          <w:kern w:val="0"/>
        </w:rPr>
        <w:t>5.</w:t>
      </w:r>
      <w:r w:rsidRPr="00EA6C76">
        <w:rPr>
          <w:kern w:val="0"/>
        </w:rPr>
        <w:tab/>
        <w:t>Air Conditioning – Automatic AC, CFC Free, Environmental Friendly</w:t>
      </w:r>
    </w:p>
    <w:p w14:paraId="19052455" w14:textId="77777777" w:rsidR="00EA6C76" w:rsidRPr="00EA6C76" w:rsidRDefault="00EA6C76" w:rsidP="00EA6C76">
      <w:pPr>
        <w:pStyle w:val="Outline"/>
        <w:rPr>
          <w:kern w:val="0"/>
        </w:rPr>
      </w:pPr>
      <w:r w:rsidRPr="00EA6C76">
        <w:rPr>
          <w:kern w:val="0"/>
        </w:rPr>
        <w:t>6.</w:t>
      </w:r>
      <w:r w:rsidRPr="00EA6C76">
        <w:rPr>
          <w:kern w:val="0"/>
        </w:rPr>
        <w:tab/>
        <w:t>Power Steering</w:t>
      </w:r>
    </w:p>
    <w:p w14:paraId="754FA159" w14:textId="77777777" w:rsidR="00EA6C76" w:rsidRPr="00EA6C76" w:rsidRDefault="00EA6C76" w:rsidP="00EA6C76">
      <w:pPr>
        <w:pStyle w:val="Outline"/>
        <w:rPr>
          <w:kern w:val="0"/>
        </w:rPr>
      </w:pPr>
      <w:r w:rsidRPr="00EA6C76">
        <w:rPr>
          <w:kern w:val="0"/>
        </w:rPr>
        <w:t>7.</w:t>
      </w:r>
      <w:r w:rsidRPr="00EA6C76">
        <w:rPr>
          <w:kern w:val="0"/>
        </w:rPr>
        <w:tab/>
        <w:t>Foldable and Adjustable Power Mirrors</w:t>
      </w:r>
    </w:p>
    <w:p w14:paraId="0AEDD6AF" w14:textId="77777777" w:rsidR="00EA6C76" w:rsidRPr="00EA6C76" w:rsidRDefault="00EA6C76" w:rsidP="00EA6C76">
      <w:pPr>
        <w:pStyle w:val="Outline"/>
        <w:rPr>
          <w:kern w:val="0"/>
        </w:rPr>
      </w:pPr>
      <w:r w:rsidRPr="00EA6C76">
        <w:rPr>
          <w:kern w:val="0"/>
        </w:rPr>
        <w:t>8.</w:t>
      </w:r>
      <w:r w:rsidRPr="00EA6C76">
        <w:rPr>
          <w:kern w:val="0"/>
        </w:rPr>
        <w:tab/>
        <w:t>Front / Rear Power Windows</w:t>
      </w:r>
    </w:p>
    <w:p w14:paraId="6151BB15" w14:textId="77777777" w:rsidR="00EA6C76" w:rsidRPr="00EA6C76" w:rsidRDefault="00EA6C76" w:rsidP="00EA6C76">
      <w:pPr>
        <w:pStyle w:val="Outline"/>
        <w:rPr>
          <w:kern w:val="0"/>
        </w:rPr>
      </w:pPr>
      <w:r w:rsidRPr="00EA6C76">
        <w:rPr>
          <w:kern w:val="0"/>
        </w:rPr>
        <w:t>9.</w:t>
      </w:r>
      <w:r w:rsidRPr="00EA6C76">
        <w:rPr>
          <w:kern w:val="0"/>
        </w:rPr>
        <w:tab/>
        <w:t>Automatic Transmission</w:t>
      </w:r>
    </w:p>
    <w:p w14:paraId="178307B9" w14:textId="77777777" w:rsidR="00EA6C76" w:rsidRPr="00EA6C76" w:rsidRDefault="00EA6C76" w:rsidP="00EA6C76">
      <w:pPr>
        <w:pStyle w:val="Outline"/>
        <w:rPr>
          <w:kern w:val="0"/>
        </w:rPr>
      </w:pPr>
      <w:r w:rsidRPr="00EA6C76">
        <w:rPr>
          <w:kern w:val="0"/>
        </w:rPr>
        <w:t>10.</w:t>
      </w:r>
      <w:r w:rsidRPr="00EA6C76">
        <w:rPr>
          <w:kern w:val="0"/>
        </w:rPr>
        <w:tab/>
        <w:t>Dual Air Bag</w:t>
      </w:r>
    </w:p>
    <w:p w14:paraId="18CBF7AF" w14:textId="77777777" w:rsidR="00EA6C76" w:rsidRPr="00EA6C76" w:rsidRDefault="00EA6C76" w:rsidP="00EA6C76">
      <w:pPr>
        <w:pStyle w:val="Outline"/>
        <w:rPr>
          <w:kern w:val="0"/>
        </w:rPr>
      </w:pPr>
      <w:r w:rsidRPr="00EA6C76">
        <w:rPr>
          <w:kern w:val="0"/>
        </w:rPr>
        <w:t>11.</w:t>
      </w:r>
      <w:r w:rsidRPr="00EA6C76">
        <w:rPr>
          <w:kern w:val="0"/>
        </w:rPr>
        <w:tab/>
        <w:t>Spacious Front and Rear Leg Room (Measurements must be given with specification)</w:t>
      </w:r>
    </w:p>
    <w:p w14:paraId="63E9C63F" w14:textId="77777777" w:rsidR="00EA6C76" w:rsidRPr="00EA6C76" w:rsidRDefault="00EA6C76" w:rsidP="00EA6C76">
      <w:pPr>
        <w:pStyle w:val="Outline"/>
        <w:rPr>
          <w:kern w:val="0"/>
        </w:rPr>
      </w:pPr>
      <w:r w:rsidRPr="00EA6C76">
        <w:rPr>
          <w:kern w:val="0"/>
        </w:rPr>
        <w:t>12.</w:t>
      </w:r>
      <w:r w:rsidRPr="00EA6C76">
        <w:rPr>
          <w:kern w:val="0"/>
        </w:rPr>
        <w:tab/>
        <w:t>Keyless Central Locking Remote System</w:t>
      </w:r>
    </w:p>
    <w:p w14:paraId="1A673847" w14:textId="77777777" w:rsidR="00EA6C76" w:rsidRPr="00EA6C76" w:rsidRDefault="00EA6C76" w:rsidP="00EA6C76">
      <w:pPr>
        <w:pStyle w:val="Outline"/>
        <w:rPr>
          <w:kern w:val="0"/>
        </w:rPr>
      </w:pPr>
      <w:r w:rsidRPr="00EA6C76">
        <w:rPr>
          <w:kern w:val="0"/>
        </w:rPr>
        <w:t>13.</w:t>
      </w:r>
      <w:r w:rsidRPr="00EA6C76">
        <w:rPr>
          <w:kern w:val="0"/>
        </w:rPr>
        <w:tab/>
        <w:t>Seat Belts 5</w:t>
      </w:r>
    </w:p>
    <w:p w14:paraId="04E6CA06" w14:textId="77777777" w:rsidR="00EA6C76" w:rsidRPr="00EA6C76" w:rsidRDefault="00EA6C76" w:rsidP="00EA6C76">
      <w:pPr>
        <w:pStyle w:val="Outline"/>
        <w:rPr>
          <w:kern w:val="0"/>
        </w:rPr>
      </w:pPr>
      <w:r w:rsidRPr="00EA6C76">
        <w:rPr>
          <w:kern w:val="0"/>
        </w:rPr>
        <w:t>14.</w:t>
      </w:r>
      <w:r w:rsidRPr="00EA6C76">
        <w:rPr>
          <w:kern w:val="0"/>
        </w:rPr>
        <w:tab/>
        <w:t>Sun Visors - Driver and Passenger, Both with Mirrors</w:t>
      </w:r>
    </w:p>
    <w:p w14:paraId="24E0ED92" w14:textId="77777777" w:rsidR="00EA6C76" w:rsidRPr="00EA6C76" w:rsidRDefault="00EA6C76" w:rsidP="00EA6C76">
      <w:pPr>
        <w:pStyle w:val="Outline"/>
        <w:rPr>
          <w:kern w:val="0"/>
        </w:rPr>
      </w:pPr>
      <w:r w:rsidRPr="00EA6C76">
        <w:rPr>
          <w:kern w:val="0"/>
        </w:rPr>
        <w:t>15.</w:t>
      </w:r>
      <w:r w:rsidRPr="00EA6C76">
        <w:rPr>
          <w:kern w:val="0"/>
        </w:rPr>
        <w:tab/>
        <w:t>Colors: Black, Grey, Dark Blue, White</w:t>
      </w:r>
    </w:p>
    <w:p w14:paraId="6406C604" w14:textId="77777777" w:rsidR="00EA6C76" w:rsidRPr="00EA6C76" w:rsidRDefault="00EA6C76" w:rsidP="00EA6C76">
      <w:pPr>
        <w:pStyle w:val="Outline"/>
        <w:rPr>
          <w:kern w:val="0"/>
        </w:rPr>
      </w:pPr>
      <w:r w:rsidRPr="00EA6C76">
        <w:rPr>
          <w:kern w:val="0"/>
        </w:rPr>
        <w:t>16.</w:t>
      </w:r>
      <w:r w:rsidRPr="00EA6C76">
        <w:rPr>
          <w:kern w:val="0"/>
        </w:rPr>
        <w:tab/>
        <w:t>Disc Brakes</w:t>
      </w:r>
    </w:p>
    <w:p w14:paraId="72E76855" w14:textId="77777777" w:rsidR="00EA6C76" w:rsidRPr="00EA6C76" w:rsidRDefault="00EA6C76" w:rsidP="00EA6C76">
      <w:pPr>
        <w:pStyle w:val="Outline"/>
        <w:rPr>
          <w:kern w:val="0"/>
        </w:rPr>
      </w:pPr>
      <w:r w:rsidRPr="00EA6C76">
        <w:rPr>
          <w:kern w:val="0"/>
        </w:rPr>
        <w:t>17.</w:t>
      </w:r>
      <w:r w:rsidRPr="00EA6C76">
        <w:rPr>
          <w:kern w:val="0"/>
        </w:rPr>
        <w:tab/>
        <w:t>AM/FM, USB player with 4 speakers</w:t>
      </w:r>
    </w:p>
    <w:p w14:paraId="329A7FC3" w14:textId="77777777" w:rsidR="00EA6C76" w:rsidRPr="00EA6C76" w:rsidRDefault="00EA6C76" w:rsidP="00EA6C76">
      <w:pPr>
        <w:pStyle w:val="Outline"/>
        <w:rPr>
          <w:kern w:val="0"/>
        </w:rPr>
      </w:pPr>
      <w:r w:rsidRPr="00EA6C76">
        <w:rPr>
          <w:kern w:val="0"/>
        </w:rPr>
        <w:t>18.</w:t>
      </w:r>
      <w:r w:rsidRPr="00EA6C76">
        <w:rPr>
          <w:kern w:val="0"/>
        </w:rPr>
        <w:tab/>
        <w:t>Alloy wheels</w:t>
      </w:r>
    </w:p>
    <w:p w14:paraId="6C24317B" w14:textId="77777777" w:rsidR="00EA6C76" w:rsidRPr="00EA6C76" w:rsidRDefault="00EA6C76" w:rsidP="00EA6C76">
      <w:pPr>
        <w:pStyle w:val="Outline"/>
        <w:rPr>
          <w:kern w:val="0"/>
        </w:rPr>
      </w:pPr>
      <w:r w:rsidRPr="00EA6C76">
        <w:rPr>
          <w:kern w:val="0"/>
        </w:rPr>
        <w:t>19.</w:t>
      </w:r>
      <w:r w:rsidRPr="00EA6C76">
        <w:rPr>
          <w:kern w:val="0"/>
        </w:rPr>
        <w:tab/>
        <w:t>Right-hand Drive</w:t>
      </w:r>
    </w:p>
    <w:p w14:paraId="438B2D20" w14:textId="77777777" w:rsidR="00EA6C76" w:rsidRPr="00EA6C76" w:rsidRDefault="00EA6C76" w:rsidP="00EA6C76">
      <w:pPr>
        <w:pStyle w:val="Outline"/>
        <w:rPr>
          <w:kern w:val="0"/>
        </w:rPr>
      </w:pPr>
      <w:r w:rsidRPr="00EA6C76">
        <w:rPr>
          <w:kern w:val="0"/>
        </w:rPr>
        <w:t>20.</w:t>
      </w:r>
      <w:r w:rsidRPr="00EA6C76">
        <w:rPr>
          <w:kern w:val="0"/>
        </w:rPr>
        <w:tab/>
        <w:t>Owner’s Manual</w:t>
      </w:r>
    </w:p>
    <w:p w14:paraId="4D4EFEC3" w14:textId="77777777" w:rsidR="00EA6C76" w:rsidRPr="00EA6C76" w:rsidRDefault="00EA6C76" w:rsidP="00EA6C76">
      <w:pPr>
        <w:pStyle w:val="Outline"/>
        <w:rPr>
          <w:kern w:val="0"/>
        </w:rPr>
      </w:pPr>
      <w:r w:rsidRPr="00EA6C76">
        <w:rPr>
          <w:kern w:val="0"/>
        </w:rPr>
        <w:t>21.</w:t>
      </w:r>
      <w:r w:rsidRPr="00EA6C76">
        <w:rPr>
          <w:kern w:val="0"/>
        </w:rPr>
        <w:tab/>
        <w:t>Tool Kit</w:t>
      </w:r>
    </w:p>
    <w:p w14:paraId="6A906C62" w14:textId="77777777" w:rsidR="00EA6C76" w:rsidRPr="00EA6C76" w:rsidRDefault="00EA6C76" w:rsidP="00EA6C76">
      <w:pPr>
        <w:pStyle w:val="Outline"/>
        <w:rPr>
          <w:kern w:val="0"/>
        </w:rPr>
      </w:pPr>
      <w:r w:rsidRPr="00EA6C76">
        <w:rPr>
          <w:kern w:val="0"/>
        </w:rPr>
        <w:t>22.</w:t>
      </w:r>
      <w:r w:rsidRPr="00EA6C76">
        <w:rPr>
          <w:kern w:val="0"/>
        </w:rPr>
        <w:tab/>
        <w:t>Extra Wheel – Same as original wheel/</w:t>
      </w:r>
      <w:proofErr w:type="spellStart"/>
      <w:r w:rsidRPr="00EA6C76">
        <w:rPr>
          <w:kern w:val="0"/>
        </w:rPr>
        <w:t>Tyre</w:t>
      </w:r>
      <w:proofErr w:type="spellEnd"/>
      <w:r w:rsidRPr="00EA6C76">
        <w:rPr>
          <w:kern w:val="0"/>
        </w:rPr>
        <w:t xml:space="preserve"> Size</w:t>
      </w:r>
    </w:p>
    <w:p w14:paraId="419ADADF" w14:textId="77777777" w:rsidR="00EA6C76" w:rsidRPr="00EA6C76" w:rsidRDefault="00EA6C76" w:rsidP="00EA6C76">
      <w:pPr>
        <w:pStyle w:val="Outline"/>
        <w:rPr>
          <w:kern w:val="0"/>
        </w:rPr>
      </w:pPr>
      <w:r w:rsidRPr="00EA6C76">
        <w:rPr>
          <w:kern w:val="0"/>
        </w:rPr>
        <w:t>23.</w:t>
      </w:r>
      <w:r w:rsidRPr="00EA6C76">
        <w:rPr>
          <w:kern w:val="0"/>
        </w:rPr>
        <w:tab/>
        <w:t>Car Cover</w:t>
      </w:r>
    </w:p>
    <w:p w14:paraId="6CCB6CBC" w14:textId="77777777" w:rsidR="00EA6C76" w:rsidRPr="00EA6C76" w:rsidRDefault="00EA6C76" w:rsidP="00EA6C76">
      <w:pPr>
        <w:pStyle w:val="Outline"/>
        <w:rPr>
          <w:kern w:val="0"/>
        </w:rPr>
      </w:pPr>
      <w:r w:rsidRPr="00EA6C76">
        <w:rPr>
          <w:kern w:val="0"/>
        </w:rPr>
        <w:t>24.</w:t>
      </w:r>
      <w:r w:rsidRPr="00EA6C76">
        <w:rPr>
          <w:kern w:val="0"/>
        </w:rPr>
        <w:tab/>
        <w:t>Flag post (Magnetic or Bonnet Fix; no cover drilling) with National Flag (Sample will be given)</w:t>
      </w:r>
    </w:p>
    <w:p w14:paraId="53174C53" w14:textId="77777777" w:rsidR="00EA6C76" w:rsidRPr="00EA6C76" w:rsidRDefault="00EA6C76" w:rsidP="00EA6C76">
      <w:pPr>
        <w:pStyle w:val="Outline"/>
        <w:rPr>
          <w:kern w:val="0"/>
        </w:rPr>
      </w:pPr>
      <w:r w:rsidRPr="00EA6C76">
        <w:rPr>
          <w:kern w:val="0"/>
        </w:rPr>
        <w:lastRenderedPageBreak/>
        <w:t>25.</w:t>
      </w:r>
      <w:r w:rsidRPr="00EA6C76">
        <w:rPr>
          <w:kern w:val="0"/>
        </w:rPr>
        <w:tab/>
        <w:t>Sun – X for all cars</w:t>
      </w:r>
    </w:p>
    <w:p w14:paraId="3FD7F8E0" w14:textId="77777777" w:rsidR="00EA6C76" w:rsidRPr="00EA6C76" w:rsidRDefault="00EA6C76" w:rsidP="00EA6C76">
      <w:pPr>
        <w:pStyle w:val="Outline"/>
        <w:rPr>
          <w:kern w:val="0"/>
        </w:rPr>
      </w:pPr>
      <w:r w:rsidRPr="00EA6C76">
        <w:rPr>
          <w:kern w:val="0"/>
        </w:rPr>
        <w:t>26.</w:t>
      </w:r>
      <w:r w:rsidRPr="00EA6C76">
        <w:rPr>
          <w:kern w:val="0"/>
        </w:rPr>
        <w:tab/>
        <w:t>Car Registration Board (Plastic, fixed tight to the car)</w:t>
      </w:r>
    </w:p>
    <w:p w14:paraId="5B73725B" w14:textId="77777777" w:rsidR="00EA6C76" w:rsidRPr="00EA6C76" w:rsidRDefault="00EA6C76" w:rsidP="00EA6C76">
      <w:pPr>
        <w:pStyle w:val="Outline"/>
        <w:rPr>
          <w:kern w:val="0"/>
        </w:rPr>
      </w:pPr>
      <w:r w:rsidRPr="00EA6C76">
        <w:rPr>
          <w:kern w:val="0"/>
        </w:rPr>
        <w:t>27.</w:t>
      </w:r>
      <w:r w:rsidRPr="00EA6C76">
        <w:rPr>
          <w:kern w:val="0"/>
        </w:rPr>
        <w:tab/>
        <w:t>Registration at Transport Authority, Insurance and Roadworthiness must be included</w:t>
      </w:r>
    </w:p>
    <w:p w14:paraId="76F6E3BF" w14:textId="77777777" w:rsidR="00EA6C76" w:rsidRPr="00EA6C76" w:rsidRDefault="00EA6C76" w:rsidP="00EA6C76">
      <w:pPr>
        <w:pStyle w:val="Outline"/>
        <w:rPr>
          <w:kern w:val="0"/>
        </w:rPr>
      </w:pPr>
      <w:r w:rsidRPr="00EA6C76">
        <w:rPr>
          <w:kern w:val="0"/>
        </w:rPr>
        <w:t>28.</w:t>
      </w:r>
      <w:r w:rsidRPr="00EA6C76">
        <w:rPr>
          <w:kern w:val="0"/>
        </w:rPr>
        <w:tab/>
        <w:t>Warranty Period: 3 Years</w:t>
      </w:r>
    </w:p>
    <w:p w14:paraId="788C1CA8" w14:textId="77777777" w:rsidR="00EA6C76" w:rsidRPr="00EA6C76" w:rsidRDefault="00EA6C76" w:rsidP="00EA6C76">
      <w:pPr>
        <w:pStyle w:val="Outline"/>
        <w:rPr>
          <w:kern w:val="0"/>
        </w:rPr>
      </w:pPr>
      <w:r w:rsidRPr="00EA6C76">
        <w:rPr>
          <w:kern w:val="0"/>
        </w:rPr>
        <w:t>29.</w:t>
      </w:r>
      <w:r w:rsidRPr="00EA6C76">
        <w:rPr>
          <w:kern w:val="0"/>
        </w:rPr>
        <w:tab/>
        <w:t>36 months full service. (Car should be serviced every 3 months) which will be paid when invoiced after the services, after every three months. (Service price should be noted in the bid separately)</w:t>
      </w:r>
    </w:p>
    <w:p w14:paraId="3234460E" w14:textId="77777777" w:rsidR="00EA6C76" w:rsidRPr="00EA6C76" w:rsidRDefault="00EA6C76" w:rsidP="00EA6C76">
      <w:pPr>
        <w:pStyle w:val="Outline"/>
        <w:rPr>
          <w:kern w:val="0"/>
        </w:rPr>
      </w:pPr>
      <w:r w:rsidRPr="00EA6C76">
        <w:rPr>
          <w:kern w:val="0"/>
        </w:rPr>
        <w:t>30.</w:t>
      </w:r>
      <w:r w:rsidRPr="00EA6C76">
        <w:rPr>
          <w:kern w:val="0"/>
        </w:rPr>
        <w:tab/>
        <w:t>Suppliers must register to a garage or should have an arrangement for the servicing of the cars supplied.</w:t>
      </w:r>
    </w:p>
    <w:p w14:paraId="1A7045A7" w14:textId="77777777" w:rsidR="00EA6C76" w:rsidRPr="00EA6C76" w:rsidRDefault="00EA6C76" w:rsidP="00EA6C76">
      <w:pPr>
        <w:pStyle w:val="Outline"/>
        <w:rPr>
          <w:kern w:val="0"/>
        </w:rPr>
      </w:pPr>
      <w:r w:rsidRPr="00EA6C76">
        <w:rPr>
          <w:kern w:val="0"/>
        </w:rPr>
        <w:t>31.</w:t>
      </w:r>
      <w:r w:rsidRPr="00EA6C76">
        <w:rPr>
          <w:kern w:val="0"/>
        </w:rPr>
        <w:tab/>
        <w:t>Must submit the manufacture’s authorization letter.</w:t>
      </w:r>
    </w:p>
    <w:p w14:paraId="3DD796D5" w14:textId="77777777" w:rsidR="00E267F1" w:rsidRDefault="00EA6C76" w:rsidP="00EA6C76">
      <w:pPr>
        <w:pStyle w:val="Outline"/>
        <w:rPr>
          <w:kern w:val="0"/>
        </w:rPr>
      </w:pPr>
      <w:r w:rsidRPr="00EA6C76">
        <w:rPr>
          <w:kern w:val="0"/>
        </w:rPr>
        <w:t>32.</w:t>
      </w:r>
      <w:r w:rsidRPr="00EA6C76">
        <w:rPr>
          <w:kern w:val="0"/>
        </w:rPr>
        <w:tab/>
        <w:t xml:space="preserve">QUOTE THE PRICE FOR; </w:t>
      </w:r>
      <w:r w:rsidRPr="00EA6C76">
        <w:rPr>
          <w:kern w:val="0"/>
        </w:rPr>
        <w:tab/>
      </w:r>
    </w:p>
    <w:p w14:paraId="602CE4D8" w14:textId="12C24E4F" w:rsidR="00EA6C76" w:rsidRPr="00EA6C76" w:rsidRDefault="00EA6C76" w:rsidP="00EA6C76">
      <w:pPr>
        <w:pStyle w:val="Outline"/>
        <w:rPr>
          <w:kern w:val="0"/>
        </w:rPr>
      </w:pPr>
      <w:r w:rsidRPr="00EA6C76">
        <w:rPr>
          <w:kern w:val="0"/>
        </w:rPr>
        <w:t>1.</w:t>
      </w:r>
      <w:r w:rsidRPr="00EA6C76">
        <w:rPr>
          <w:kern w:val="0"/>
        </w:rPr>
        <w:tab/>
        <w:t>EXCLUDING IMPORT DUTY</w:t>
      </w:r>
    </w:p>
    <w:p w14:paraId="35540FC1" w14:textId="77777777" w:rsidR="00EA6C76" w:rsidRPr="00EA6C76" w:rsidRDefault="00EA6C76" w:rsidP="00EA6C76">
      <w:pPr>
        <w:pStyle w:val="Outline"/>
        <w:rPr>
          <w:kern w:val="0"/>
        </w:rPr>
      </w:pPr>
      <w:r w:rsidRPr="00EA6C76">
        <w:rPr>
          <w:kern w:val="0"/>
        </w:rPr>
        <w:t>2.</w:t>
      </w:r>
      <w:r w:rsidRPr="00EA6C76">
        <w:rPr>
          <w:kern w:val="0"/>
        </w:rPr>
        <w:tab/>
        <w:t>INCLUDING IMPORT DUTY</w:t>
      </w:r>
    </w:p>
    <w:p w14:paraId="74ED3E6B" w14:textId="1CEDBC9B" w:rsidR="00EA6C76" w:rsidRPr="00EA6C76" w:rsidRDefault="00EA6C76" w:rsidP="00844CB8">
      <w:pPr>
        <w:pStyle w:val="Outline"/>
        <w:rPr>
          <w:kern w:val="0"/>
        </w:rPr>
      </w:pPr>
    </w:p>
    <w:p w14:paraId="4C8090DF" w14:textId="77777777" w:rsidR="00EA6C76" w:rsidRPr="00EA6C76" w:rsidRDefault="00EA6C76" w:rsidP="00EA6C76">
      <w:pPr>
        <w:pStyle w:val="Outline"/>
        <w:rPr>
          <w:kern w:val="0"/>
        </w:rPr>
      </w:pPr>
    </w:p>
    <w:p w14:paraId="0A55AFAC" w14:textId="7B429A8B" w:rsidR="00EA6C76" w:rsidRDefault="00EA6C76" w:rsidP="00EA6C76">
      <w:pPr>
        <w:pStyle w:val="Outline"/>
        <w:spacing w:before="0"/>
        <w:rPr>
          <w:kern w:val="0"/>
        </w:rPr>
      </w:pPr>
      <w:r w:rsidRPr="00EA6C76">
        <w:rPr>
          <w:kern w:val="0"/>
        </w:rPr>
        <w:t>•</w:t>
      </w:r>
      <w:r w:rsidRPr="00EA6C76">
        <w:rPr>
          <w:kern w:val="0"/>
        </w:rPr>
        <w:tab/>
        <w:t>Proposed car must meet the technical specification as above.</w:t>
      </w:r>
    </w:p>
    <w:p w14:paraId="79B9E78E" w14:textId="77777777" w:rsidR="00EA6C76" w:rsidRDefault="00EA6C76">
      <w:pPr>
        <w:pStyle w:val="Outline"/>
        <w:spacing w:before="0"/>
        <w:rPr>
          <w:kern w:val="0"/>
        </w:rPr>
      </w:pPr>
    </w:p>
    <w:p w14:paraId="0939E853" w14:textId="77777777" w:rsidR="00EA6C76" w:rsidRDefault="00EA6C76">
      <w:pPr>
        <w:pStyle w:val="Outline"/>
        <w:spacing w:before="0"/>
        <w:rPr>
          <w:kern w:val="0"/>
        </w:rPr>
      </w:pPr>
    </w:p>
    <w:p w14:paraId="39397D57" w14:textId="77777777" w:rsidR="00EA6C76" w:rsidRDefault="00EA6C76">
      <w:pPr>
        <w:pStyle w:val="Outline"/>
        <w:spacing w:before="0"/>
        <w:rPr>
          <w:kern w:val="0"/>
        </w:rPr>
      </w:pPr>
    </w:p>
    <w:p w14:paraId="298A56D8" w14:textId="77777777" w:rsidR="00EA6C76" w:rsidRDefault="00EA6C76">
      <w:pPr>
        <w:pStyle w:val="Outline"/>
        <w:spacing w:before="0"/>
        <w:rPr>
          <w:kern w:val="0"/>
        </w:rPr>
      </w:pPr>
    </w:p>
    <w:p w14:paraId="75BEF95A" w14:textId="77777777" w:rsidR="00EA6C76" w:rsidRDefault="00EA6C76">
      <w:pPr>
        <w:pStyle w:val="Outline"/>
        <w:spacing w:before="0"/>
        <w:rPr>
          <w:kern w:val="0"/>
        </w:rPr>
      </w:pPr>
    </w:p>
    <w:p w14:paraId="622F9395" w14:textId="77777777" w:rsidR="00EA6C76" w:rsidRDefault="00EA6C76">
      <w:pPr>
        <w:pStyle w:val="Outline"/>
        <w:spacing w:before="0"/>
        <w:rPr>
          <w:kern w:val="0"/>
        </w:rPr>
      </w:pPr>
    </w:p>
    <w:p w14:paraId="759592A7" w14:textId="77777777" w:rsidR="00EA6C76" w:rsidRDefault="00EA6C76">
      <w:pPr>
        <w:pStyle w:val="Outline"/>
        <w:spacing w:before="0"/>
        <w:rPr>
          <w:kern w:val="0"/>
        </w:rPr>
      </w:pPr>
    </w:p>
    <w:p w14:paraId="5215934B" w14:textId="77777777" w:rsidR="00EA6C76" w:rsidRPr="008B66E1" w:rsidRDefault="00EA6C76">
      <w:pPr>
        <w:pStyle w:val="Outline"/>
        <w:spacing w:before="0"/>
        <w:rPr>
          <w:kern w:val="0"/>
        </w:rPr>
        <w:sectPr w:rsidR="00EA6C76" w:rsidRPr="008B66E1">
          <w:headerReference w:type="even" r:id="rId32"/>
          <w:headerReference w:type="default" r:id="rId33"/>
          <w:headerReference w:type="first" r:id="rId34"/>
          <w:type w:val="oddPage"/>
          <w:pgSz w:w="12240" w:h="15840" w:code="1"/>
          <w:pgMar w:top="1440" w:right="1440" w:bottom="1440" w:left="1800" w:header="720" w:footer="720" w:gutter="0"/>
          <w:paperSrc w:first="15" w:other="15"/>
          <w:pgNumType w:chapStyle="1"/>
          <w:cols w:space="720"/>
          <w:titlePg/>
        </w:sectPr>
      </w:pPr>
    </w:p>
    <w:p w14:paraId="1290085C" w14:textId="389B6D5E" w:rsidR="001B19A2" w:rsidRDefault="00FB29EF" w:rsidP="00FB29EF">
      <w:pPr>
        <w:pStyle w:val="SectionVIHeader"/>
        <w:jc w:val="both"/>
      </w:pPr>
      <w:bookmarkStart w:id="400" w:name="_Toc458817153"/>
      <w:r>
        <w:lastRenderedPageBreak/>
        <w:tab/>
      </w:r>
      <w:r>
        <w:tab/>
        <w:t xml:space="preserve">Tender </w:t>
      </w:r>
      <w:r w:rsidR="00455149" w:rsidRPr="008B66E1">
        <w:t>5. Inspections and Tests</w:t>
      </w:r>
      <w:bookmarkEnd w:id="400"/>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1" w:name="_Toc438266930"/>
      <w:bookmarkStart w:id="402" w:name="_Toc438267904"/>
      <w:bookmarkStart w:id="403"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4" w:name="_Toc438529605"/>
      <w:bookmarkStart w:id="405" w:name="_Toc438725761"/>
      <w:bookmarkStart w:id="406" w:name="_Toc438817756"/>
      <w:bookmarkStart w:id="407" w:name="_Toc438954450"/>
      <w:bookmarkStart w:id="408" w:name="_Toc461939623"/>
      <w:bookmarkStart w:id="409" w:name="_Toc488411759"/>
      <w:bookmarkStart w:id="410" w:name="_Toc458816213"/>
      <w:bookmarkStart w:id="411" w:name="_Toc459036706"/>
      <w:r w:rsidRPr="008B66E1">
        <w:t xml:space="preserve">PART </w:t>
      </w:r>
      <w:r w:rsidR="008B1FAD">
        <w:t>4</w:t>
      </w:r>
      <w:r w:rsidRPr="008B66E1">
        <w:t xml:space="preserve"> - Contract</w:t>
      </w:r>
      <w:bookmarkEnd w:id="404"/>
      <w:bookmarkEnd w:id="405"/>
      <w:bookmarkEnd w:id="406"/>
      <w:bookmarkEnd w:id="407"/>
      <w:bookmarkEnd w:id="408"/>
      <w:bookmarkEnd w:id="409"/>
      <w:bookmarkEnd w:id="410"/>
      <w:bookmarkEnd w:id="41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2" w:name="_Toc471555340"/>
            <w:bookmarkStart w:id="413" w:name="_Toc471555883"/>
            <w:bookmarkStart w:id="414" w:name="_Toc488411760"/>
            <w:bookmarkStart w:id="415" w:name="_Toc458816214"/>
            <w:bookmarkStart w:id="416" w:name="_Toc459036707"/>
            <w:r w:rsidRPr="00B95277">
              <w:t>Section VII</w:t>
            </w:r>
            <w:r w:rsidR="00193CA6" w:rsidRPr="00B95277">
              <w:t>I</w:t>
            </w:r>
            <w:r w:rsidRPr="00B95277">
              <w:t>.  General Conditions of Contract</w:t>
            </w:r>
            <w:bookmarkEnd w:id="412"/>
            <w:bookmarkEnd w:id="413"/>
            <w:bookmarkEnd w:id="414"/>
            <w:bookmarkEnd w:id="415"/>
            <w:bookmarkEnd w:id="41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7" w:name="_Toc458817185"/>
            <w:r w:rsidRPr="00982ACF">
              <w:rPr>
                <w:sz w:val="22"/>
                <w:szCs w:val="22"/>
              </w:rPr>
              <w:t>Definitions</w:t>
            </w:r>
            <w:bookmarkEnd w:id="41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8" w:name="_Toc458817186"/>
            <w:r w:rsidRPr="009C0472">
              <w:rPr>
                <w:sz w:val="22"/>
                <w:szCs w:val="22"/>
              </w:rPr>
              <w:t>Contract Documents</w:t>
            </w:r>
            <w:bookmarkEnd w:id="41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19" w:name="_Toc458817187"/>
            <w:r w:rsidRPr="00B834AC">
              <w:rPr>
                <w:sz w:val="22"/>
                <w:szCs w:val="22"/>
              </w:rPr>
              <w:lastRenderedPageBreak/>
              <w:t>Fraud and Corruption</w:t>
            </w:r>
            <w:bookmarkEnd w:id="419"/>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0" w:name="_Toc458817188"/>
            <w:r w:rsidRPr="006209CE">
              <w:rPr>
                <w:sz w:val="22"/>
                <w:szCs w:val="22"/>
              </w:rPr>
              <w:t>Interpretation</w:t>
            </w:r>
            <w:bookmarkEnd w:id="42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1" w:name="_Toc458817189"/>
            <w:r w:rsidRPr="007049F6">
              <w:rPr>
                <w:sz w:val="22"/>
                <w:szCs w:val="22"/>
              </w:rPr>
              <w:lastRenderedPageBreak/>
              <w:t>Language</w:t>
            </w:r>
            <w:bookmarkEnd w:id="42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2" w:name="_Toc458817190"/>
            <w:r w:rsidRPr="007049F6">
              <w:rPr>
                <w:sz w:val="22"/>
                <w:szCs w:val="22"/>
              </w:rPr>
              <w:t>Joint Venture, Consortium or Association</w:t>
            </w:r>
            <w:bookmarkEnd w:id="42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3" w:name="_Toc458817191"/>
            <w:r w:rsidRPr="007049F6">
              <w:rPr>
                <w:sz w:val="22"/>
                <w:szCs w:val="22"/>
              </w:rPr>
              <w:lastRenderedPageBreak/>
              <w:t>Eligibility</w:t>
            </w:r>
            <w:bookmarkEnd w:id="42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4" w:name="_Toc458817192"/>
            <w:r w:rsidRPr="00092B04">
              <w:rPr>
                <w:sz w:val="22"/>
                <w:szCs w:val="22"/>
              </w:rPr>
              <w:t>Notices</w:t>
            </w:r>
            <w:bookmarkEnd w:id="42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5" w:name="_Toc458817193"/>
            <w:r w:rsidRPr="00092B04">
              <w:rPr>
                <w:sz w:val="22"/>
                <w:szCs w:val="22"/>
              </w:rPr>
              <w:t>Governing Law</w:t>
            </w:r>
            <w:bookmarkEnd w:id="42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6" w:name="_Toc458817194"/>
            <w:r w:rsidRPr="00092B04">
              <w:rPr>
                <w:sz w:val="22"/>
                <w:szCs w:val="22"/>
              </w:rPr>
              <w:t>Settlement of Disputes</w:t>
            </w:r>
            <w:bookmarkEnd w:id="42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r w:rsidRPr="00092B04">
              <w:rPr>
                <w:sz w:val="22"/>
                <w:szCs w:val="22"/>
              </w:rPr>
              <w:t>the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7" w:name="_Toc458817195"/>
            <w:r w:rsidRPr="00865490">
              <w:rPr>
                <w:sz w:val="22"/>
                <w:szCs w:val="22"/>
              </w:rPr>
              <w:t xml:space="preserve">Inspections and Audit by the </w:t>
            </w:r>
            <w:r>
              <w:rPr>
                <w:sz w:val="22"/>
                <w:szCs w:val="22"/>
              </w:rPr>
              <w:t>Government</w:t>
            </w:r>
            <w:bookmarkEnd w:id="42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8" w:name="OLE_LINK1"/>
            <w:bookmarkStart w:id="429"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8"/>
            <w:bookmarkEnd w:id="42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0" w:name="_Toc458817196"/>
            <w:r w:rsidRPr="002B6CCD">
              <w:rPr>
                <w:sz w:val="22"/>
                <w:szCs w:val="22"/>
              </w:rPr>
              <w:lastRenderedPageBreak/>
              <w:t>Scope of Supply</w:t>
            </w:r>
            <w:bookmarkEnd w:id="43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1" w:name="_Toc458817197"/>
            <w:r w:rsidRPr="002B6CCD">
              <w:rPr>
                <w:sz w:val="22"/>
                <w:szCs w:val="22"/>
              </w:rPr>
              <w:t>Delivery and Documents</w:t>
            </w:r>
            <w:bookmarkEnd w:id="43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2" w:name="_Toc458817198"/>
            <w:r w:rsidRPr="00BD5FC7">
              <w:rPr>
                <w:sz w:val="22"/>
                <w:szCs w:val="22"/>
              </w:rPr>
              <w:t>Supplier’s Responsibilities</w:t>
            </w:r>
            <w:bookmarkEnd w:id="43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3" w:name="_Toc458817199"/>
            <w:r w:rsidRPr="00BD5FC7">
              <w:rPr>
                <w:sz w:val="22"/>
                <w:szCs w:val="22"/>
              </w:rPr>
              <w:t>Contract Price</w:t>
            </w:r>
            <w:bookmarkEnd w:id="43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4" w:name="_Toc458817200"/>
            <w:r w:rsidRPr="00BD5FC7">
              <w:rPr>
                <w:sz w:val="22"/>
                <w:szCs w:val="22"/>
              </w:rPr>
              <w:t>Terms of Payment</w:t>
            </w:r>
            <w:bookmarkEnd w:id="43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5" w:name="_Toc458817201"/>
            <w:r w:rsidRPr="00BD5FC7">
              <w:rPr>
                <w:sz w:val="22"/>
                <w:szCs w:val="22"/>
              </w:rPr>
              <w:lastRenderedPageBreak/>
              <w:t>Taxes and Duties</w:t>
            </w:r>
            <w:bookmarkEnd w:id="43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6" w:name="_Toc458817202"/>
            <w:r w:rsidRPr="00DD3A65">
              <w:rPr>
                <w:sz w:val="22"/>
                <w:szCs w:val="22"/>
              </w:rPr>
              <w:t>Performance Security</w:t>
            </w:r>
            <w:bookmarkEnd w:id="43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As specified in the SCC, the Performance Security, if required, shall be denominated in the currency(</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7" w:name="_Toc458817203"/>
            <w:r w:rsidRPr="00DD3A65">
              <w:rPr>
                <w:sz w:val="22"/>
                <w:szCs w:val="22"/>
              </w:rPr>
              <w:t>Copyright</w:t>
            </w:r>
            <w:bookmarkEnd w:id="43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8" w:name="_Toc458817204"/>
            <w:r w:rsidRPr="00923912">
              <w:rPr>
                <w:sz w:val="22"/>
                <w:szCs w:val="22"/>
              </w:rPr>
              <w:t>Confidential Information</w:t>
            </w:r>
            <w:bookmarkEnd w:id="43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r w:rsidRPr="00923912">
              <w:rPr>
                <w:sz w:val="22"/>
                <w:szCs w:val="22"/>
              </w:rPr>
              <w:t xml:space="preserve">the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r w:rsidRPr="00923912">
              <w:rPr>
                <w:sz w:val="22"/>
                <w:szCs w:val="22"/>
              </w:rPr>
              <w:t>now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r w:rsidRPr="00923912">
              <w:rPr>
                <w:sz w:val="22"/>
                <w:szCs w:val="22"/>
              </w:rPr>
              <w:t>can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r w:rsidRPr="00923912">
              <w:rPr>
                <w:sz w:val="22"/>
                <w:szCs w:val="22"/>
              </w:rPr>
              <w:t>otherwise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39" w:name="_Toc458817205"/>
            <w:r w:rsidRPr="00FC269C">
              <w:rPr>
                <w:sz w:val="22"/>
                <w:szCs w:val="22"/>
              </w:rPr>
              <w:t>Subcontracting</w:t>
            </w:r>
            <w:bookmarkEnd w:id="43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0" w:name="_Toc458817206"/>
            <w:r w:rsidRPr="00FC269C">
              <w:rPr>
                <w:sz w:val="22"/>
                <w:szCs w:val="22"/>
              </w:rPr>
              <w:t>Specifications and Standards</w:t>
            </w:r>
            <w:bookmarkEnd w:id="44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1" w:name="_Toc458817207"/>
            <w:r w:rsidRPr="003B18EB">
              <w:rPr>
                <w:sz w:val="22"/>
                <w:szCs w:val="22"/>
              </w:rPr>
              <w:lastRenderedPageBreak/>
              <w:t>Packing and Documents</w:t>
            </w:r>
            <w:bookmarkEnd w:id="44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2" w:name="_Toc458817208"/>
            <w:r w:rsidRPr="003B18EB">
              <w:rPr>
                <w:sz w:val="22"/>
                <w:szCs w:val="22"/>
              </w:rPr>
              <w:t>Insurance</w:t>
            </w:r>
            <w:bookmarkEnd w:id="44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3" w:name="_Toc458817209"/>
            <w:r w:rsidRPr="003B18EB">
              <w:rPr>
                <w:sz w:val="22"/>
                <w:szCs w:val="22"/>
              </w:rPr>
              <w:t>Transportation</w:t>
            </w:r>
            <w:bookmarkEnd w:id="44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4" w:name="_Toc458817210"/>
            <w:r w:rsidRPr="003B18EB">
              <w:rPr>
                <w:sz w:val="22"/>
                <w:szCs w:val="22"/>
              </w:rPr>
              <w:t>Inspections and Tests</w:t>
            </w:r>
            <w:bookmarkEnd w:id="44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5" w:name="_Toc458817211"/>
            <w:r w:rsidRPr="008256A6">
              <w:rPr>
                <w:sz w:val="22"/>
                <w:szCs w:val="22"/>
              </w:rPr>
              <w:lastRenderedPageBreak/>
              <w:t>Liquidated Damages</w:t>
            </w:r>
            <w:bookmarkEnd w:id="44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6" w:name="_Toc458817212"/>
            <w:r w:rsidRPr="008256A6">
              <w:rPr>
                <w:sz w:val="22"/>
                <w:szCs w:val="22"/>
              </w:rPr>
              <w:t>Warranty</w:t>
            </w:r>
            <w:bookmarkEnd w:id="44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7" w:name="_Toc458817213"/>
            <w:r w:rsidRPr="008256A6">
              <w:rPr>
                <w:sz w:val="22"/>
                <w:szCs w:val="22"/>
              </w:rPr>
              <w:lastRenderedPageBreak/>
              <w:t>Patent Indemnity</w:t>
            </w:r>
            <w:bookmarkEnd w:id="44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r w:rsidRPr="008256A6">
              <w:rPr>
                <w:sz w:val="22"/>
                <w:szCs w:val="22"/>
              </w:rPr>
              <w:t xml:space="preserve">the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r w:rsidRPr="008256A6">
              <w:rPr>
                <w:sz w:val="22"/>
                <w:szCs w:val="22"/>
              </w:rPr>
              <w:t xml:space="preserve">the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8" w:name="_Toc458817214"/>
            <w:r w:rsidRPr="006B236C">
              <w:rPr>
                <w:sz w:val="22"/>
                <w:szCs w:val="22"/>
              </w:rPr>
              <w:lastRenderedPageBreak/>
              <w:t>Limitation of Liability</w:t>
            </w:r>
            <w:bookmarkEnd w:id="44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49" w:name="_Toc458817215"/>
            <w:r w:rsidRPr="006B236C">
              <w:rPr>
                <w:sz w:val="22"/>
                <w:szCs w:val="22"/>
              </w:rPr>
              <w:t>Change in Laws and Regulations</w:t>
            </w:r>
            <w:bookmarkEnd w:id="44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0" w:name="_Toc458817216"/>
            <w:r w:rsidRPr="00755860">
              <w:rPr>
                <w:sz w:val="22"/>
                <w:szCs w:val="22"/>
              </w:rPr>
              <w:t>Force Majeure</w:t>
            </w:r>
            <w:bookmarkEnd w:id="450"/>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1" w:name="_Toc458817217"/>
            <w:r w:rsidRPr="00D02317">
              <w:rPr>
                <w:sz w:val="22"/>
                <w:szCs w:val="22"/>
              </w:rPr>
              <w:t>Change Orders and Contract Amendments</w:t>
            </w:r>
            <w:bookmarkEnd w:id="45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r w:rsidRPr="00D02317">
              <w:rPr>
                <w:sz w:val="22"/>
                <w:szCs w:val="22"/>
              </w:rPr>
              <w:t>drawings,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r w:rsidRPr="00D02317">
              <w:rPr>
                <w:sz w:val="22"/>
                <w:szCs w:val="22"/>
              </w:rPr>
              <w:t>the method of shipment or packing;</w:t>
            </w:r>
          </w:p>
          <w:p w14:paraId="4F863CA2" w14:textId="77777777" w:rsidR="007B64F5" w:rsidRPr="00D02317" w:rsidRDefault="007B64F5" w:rsidP="007B64F5">
            <w:pPr>
              <w:pStyle w:val="Heading3"/>
              <w:numPr>
                <w:ilvl w:val="2"/>
                <w:numId w:val="67"/>
              </w:numPr>
              <w:spacing w:after="220"/>
              <w:rPr>
                <w:sz w:val="22"/>
                <w:szCs w:val="22"/>
              </w:rPr>
            </w:pPr>
            <w:r w:rsidRPr="00D02317">
              <w:rPr>
                <w:sz w:val="22"/>
                <w:szCs w:val="22"/>
              </w:rPr>
              <w:t xml:space="preserve">the place of delivery; and </w:t>
            </w:r>
          </w:p>
          <w:p w14:paraId="6BD0F1B5" w14:textId="77777777" w:rsidR="007B64F5" w:rsidRPr="00D02317" w:rsidRDefault="007B64F5" w:rsidP="007B64F5">
            <w:pPr>
              <w:pStyle w:val="Heading3"/>
              <w:numPr>
                <w:ilvl w:val="2"/>
                <w:numId w:val="67"/>
              </w:numPr>
              <w:spacing w:after="220"/>
              <w:rPr>
                <w:sz w:val="22"/>
                <w:szCs w:val="22"/>
              </w:rPr>
            </w:pPr>
            <w:r w:rsidRPr="00D02317">
              <w:rPr>
                <w:sz w:val="22"/>
                <w:szCs w:val="22"/>
              </w:rPr>
              <w:t>the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2" w:name="_Toc458817218"/>
            <w:r w:rsidRPr="00D02317">
              <w:rPr>
                <w:sz w:val="22"/>
                <w:szCs w:val="22"/>
              </w:rPr>
              <w:lastRenderedPageBreak/>
              <w:t>Extensions of Time</w:t>
            </w:r>
            <w:bookmarkEnd w:id="45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3" w:name="_Toc458817219"/>
            <w:r w:rsidRPr="00D02317">
              <w:rPr>
                <w:sz w:val="22"/>
                <w:szCs w:val="22"/>
              </w:rPr>
              <w:t>Termination</w:t>
            </w:r>
            <w:bookmarkEnd w:id="45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 xml:space="preserve">if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4" w:name="_Toc458817220"/>
            <w:r w:rsidRPr="00001183">
              <w:rPr>
                <w:sz w:val="22"/>
                <w:szCs w:val="22"/>
              </w:rPr>
              <w:lastRenderedPageBreak/>
              <w:t>Assignment</w:t>
            </w:r>
            <w:bookmarkEnd w:id="45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5" w:name="_Toc458817221"/>
            <w:r w:rsidRPr="00001183">
              <w:rPr>
                <w:bCs/>
                <w:sz w:val="22"/>
                <w:szCs w:val="22"/>
              </w:rPr>
              <w:t>Export Restriction</w:t>
            </w:r>
            <w:bookmarkEnd w:id="45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6" w:name="_Toc438954452"/>
            <w:bookmarkStart w:id="457" w:name="_Toc488411761"/>
            <w:bookmarkStart w:id="458" w:name="_Toc458816215"/>
            <w:bookmarkStart w:id="459" w:name="_Toc459036708"/>
            <w:bookmarkEnd w:id="401"/>
            <w:bookmarkEnd w:id="402"/>
            <w:bookmarkEnd w:id="403"/>
            <w:r w:rsidRPr="00B95277">
              <w:lastRenderedPageBreak/>
              <w:t>Section I</w:t>
            </w:r>
            <w:r w:rsidR="00193CA6" w:rsidRPr="00B95277">
              <w:t>X</w:t>
            </w:r>
            <w:r w:rsidRPr="00B95277">
              <w:t>.  Special Conditions of Contract</w:t>
            </w:r>
            <w:bookmarkEnd w:id="456"/>
            <w:bookmarkEnd w:id="457"/>
            <w:bookmarkEnd w:id="458"/>
            <w:bookmarkEnd w:id="459"/>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Pr="005E5078">
              <w:rPr>
                <w:sz w:val="22"/>
                <w:szCs w:val="22"/>
              </w:rPr>
              <w:t xml:space="preserve">two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43F74B13" w14:textId="77777777" w:rsidR="00242912" w:rsidRDefault="00242912" w:rsidP="00242912">
            <w:pPr>
              <w:spacing w:before="120" w:after="120"/>
              <w:rPr>
                <w:b/>
                <w:bCs/>
                <w:u w:val="single"/>
              </w:rPr>
            </w:pPr>
            <w:r>
              <w:rPr>
                <w:b/>
                <w:bCs/>
                <w:u w:val="single"/>
              </w:rPr>
              <w:t>Terms of payment</w:t>
            </w:r>
          </w:p>
          <w:p w14:paraId="0107E7B5" w14:textId="77777777" w:rsidR="00242912" w:rsidRDefault="00242912" w:rsidP="00242912">
            <w:pPr>
              <w:spacing w:after="220"/>
              <w:ind w:firstLine="7"/>
              <w:jc w:val="both"/>
            </w:pPr>
            <w:r>
              <w:t>GCC 16.1—The method and conditions of payment to be made to the Supplier under this Contract shall be as follows:</w:t>
            </w:r>
          </w:p>
          <w:p w14:paraId="2750A907" w14:textId="77777777" w:rsidR="00242912" w:rsidRDefault="00242912" w:rsidP="00242912">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5C7133B4" w14:textId="7A764633" w:rsidR="00242912" w:rsidRDefault="00242912" w:rsidP="00242912">
            <w:pPr>
              <w:spacing w:after="220"/>
              <w:ind w:hanging="540"/>
              <w:jc w:val="both"/>
            </w:pPr>
            <w:r>
              <w:t>(</w:t>
            </w:r>
            <w:proofErr w:type="spellStart"/>
            <w:r>
              <w:t>i</w:t>
            </w:r>
            <w:proofErr w:type="spellEnd"/>
            <w:r>
              <w:t>)</w:t>
            </w:r>
            <w:r>
              <w:rPr>
                <w:b/>
                <w:bCs/>
              </w:rPr>
              <w:t>   </w:t>
            </w:r>
            <w:bookmarkStart w:id="460" w:name="_GoBack"/>
            <w:bookmarkEnd w:id="460"/>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DD974A3" w14:textId="77777777" w:rsidR="00242912" w:rsidRDefault="00242912" w:rsidP="00242912">
            <w:pPr>
              <w:spacing w:after="220"/>
              <w:ind w:firstLine="7"/>
              <w:jc w:val="both"/>
              <w:rPr>
                <w:color w:val="FF0000"/>
              </w:rPr>
            </w:pPr>
            <w:r>
              <w:rPr>
                <w:b/>
                <w:bCs/>
                <w:i/>
                <w:iCs/>
                <w:color w:val="FF0000"/>
              </w:rPr>
              <w:lastRenderedPageBreak/>
              <w:t>For Goods from abroad:</w:t>
            </w:r>
          </w:p>
          <w:p w14:paraId="1A5C9D7C" w14:textId="77777777" w:rsidR="00242912" w:rsidRDefault="00242912" w:rsidP="00242912">
            <w:pPr>
              <w:spacing w:after="220"/>
              <w:jc w:val="both"/>
            </w:pPr>
            <w:r>
              <w:br w:type="page"/>
            </w:r>
            <w:r>
              <w:rPr>
                <w:b/>
                <w:bCs/>
              </w:rPr>
              <w:t>On Delivery</w:t>
            </w:r>
            <w:r>
              <w:t>:  Sixty Five (65) percent of the Contract Price shall be paid on receipt of the Goods and upon submission of the documents specified in GCC Clause 13.</w:t>
            </w:r>
          </w:p>
          <w:p w14:paraId="6E1252B8" w14:textId="77777777" w:rsidR="00242912" w:rsidRDefault="00242912" w:rsidP="00242912">
            <w:pPr>
              <w:spacing w:after="220"/>
              <w:ind w:firstLine="7"/>
              <w:jc w:val="both"/>
              <w:rPr>
                <w:color w:val="FF0000"/>
              </w:rPr>
            </w:pPr>
            <w:r>
              <w:rPr>
                <w:b/>
                <w:bCs/>
                <w:i/>
                <w:iCs/>
                <w:color w:val="FF0000"/>
              </w:rPr>
              <w:t xml:space="preserve">For Goods from the Maldives:                                               </w:t>
            </w:r>
          </w:p>
          <w:p w14:paraId="4FFC5148" w14:textId="77777777" w:rsidR="00242912" w:rsidRDefault="00242912" w:rsidP="00242912">
            <w:pPr>
              <w:spacing w:after="220"/>
              <w:jc w:val="both"/>
            </w:pPr>
            <w:r>
              <w:rPr>
                <w:b/>
                <w:bCs/>
              </w:rPr>
              <w:t>On Delivery</w:t>
            </w:r>
            <w:r>
              <w:t>:  Seventy Five (75) percent of the Contract Price shall be paid on receipt of the Goods and upon submission of the documents specified in GCC Clause 13.</w:t>
            </w:r>
          </w:p>
          <w:p w14:paraId="1DC71B7D" w14:textId="77777777" w:rsidR="00242912" w:rsidRDefault="00242912" w:rsidP="00242912">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The Performance security shall be denominated  in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38A337C7" w:rsidR="0012075C" w:rsidRPr="007A5C94" w:rsidRDefault="00BC23B4" w:rsidP="007A5C94">
            <w:pPr>
              <w:tabs>
                <w:tab w:val="right" w:pos="7164"/>
              </w:tabs>
              <w:spacing w:after="200"/>
              <w:rPr>
                <w:i/>
                <w:iCs/>
                <w:sz w:val="22"/>
                <w:szCs w:val="22"/>
              </w:rPr>
            </w:pPr>
            <w:r w:rsidRPr="00EA6C76">
              <w:t>3 Years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77777777" w:rsidR="00071A87" w:rsidRPr="007A5C94" w:rsidRDefault="00071A87" w:rsidP="00D01056">
            <w:pPr>
              <w:tabs>
                <w:tab w:val="right" w:pos="7164"/>
              </w:tabs>
              <w:spacing w:after="200"/>
              <w:rPr>
                <w:sz w:val="22"/>
                <w:szCs w:val="22"/>
              </w:rPr>
            </w:pPr>
            <w:r w:rsidRPr="007A5C94">
              <w:rPr>
                <w:i/>
                <w:iCs/>
                <w:color w:val="FF0000"/>
                <w:sz w:val="22"/>
                <w:szCs w:val="22"/>
              </w:rPr>
              <w:t>Maximum 14</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242912">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242912">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r w:rsidRPr="008B66E1">
        <w:t>THIS  AGREEMENT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r w:rsidRPr="008B66E1">
        <w:t xml:space="preserve">in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r w:rsidRPr="008B66E1">
        <w:t xml:space="preserve">in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r w:rsidRPr="008B66E1">
        <w:t xml:space="preserve">in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r w:rsidRPr="008B66E1">
        <w:t xml:space="preserve">in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 xml:space="preserve">[insert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9443E9" w:rsidRDefault="009443E9">
      <w:r>
        <w:separator/>
      </w:r>
    </w:p>
  </w:endnote>
  <w:endnote w:type="continuationSeparator" w:id="0">
    <w:p w14:paraId="669DD7C2" w14:textId="77777777" w:rsidR="009443E9" w:rsidRDefault="00944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9443E9" w:rsidRDefault="009443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9443E9" w:rsidRDefault="009443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9443E9" w:rsidRDefault="009443E9">
      <w:r>
        <w:separator/>
      </w:r>
    </w:p>
  </w:footnote>
  <w:footnote w:type="continuationSeparator" w:id="0">
    <w:p w14:paraId="0A47BC28" w14:textId="77777777" w:rsidR="009443E9" w:rsidRDefault="009443E9">
      <w:r>
        <w:continuationSeparator/>
      </w:r>
    </w:p>
  </w:footnote>
  <w:footnote w:id="1">
    <w:p w14:paraId="47B2306C" w14:textId="77777777" w:rsidR="009443E9" w:rsidRPr="0049153D" w:rsidRDefault="009443E9"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9443E9" w:rsidRDefault="009443E9"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9443E9" w:rsidRDefault="009443E9"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9443E9" w:rsidRDefault="009443E9"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9443E9" w:rsidRPr="00BC09A2" w:rsidRDefault="009443E9"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9443E9" w:rsidRPr="00BC09A2" w:rsidRDefault="009443E9"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42912">
      <w:rPr>
        <w:rStyle w:val="PageNumber"/>
        <w:noProof/>
      </w:rPr>
      <w:t>ii</w:t>
    </w:r>
    <w:r>
      <w:rPr>
        <w:rStyle w:val="PageNumber"/>
      </w:rPr>
      <w:fldChar w:fldCharType="end"/>
    </w:r>
  </w:p>
  <w:p w14:paraId="34B0C229" w14:textId="77777777" w:rsidR="009443E9" w:rsidRDefault="009443E9" w:rsidP="001D25F8">
    <w:pPr>
      <w:pStyle w:val="Header"/>
      <w:ind w:right="54" w:firstLine="360"/>
      <w:jc w:val="right"/>
    </w:pPr>
    <w:r>
      <w:t>Section I. Instructions to Tenderers</w:t>
    </w:r>
  </w:p>
  <w:p w14:paraId="7C157FC6" w14:textId="77777777" w:rsidR="009443E9" w:rsidRDefault="009443E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9443E9" w:rsidRDefault="009443E9">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23</w:t>
    </w:r>
    <w:r>
      <w:rPr>
        <w:rStyle w:val="PageNumber"/>
      </w:rPr>
      <w:fldChar w:fldCharType="end"/>
    </w:r>
  </w:p>
  <w:p w14:paraId="01C516C0" w14:textId="77777777" w:rsidR="009443E9" w:rsidRDefault="009443E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9443E9" w:rsidRPr="008576AF" w:rsidRDefault="009443E9"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9443E9" w:rsidRDefault="009443E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36</w:t>
    </w:r>
    <w:r>
      <w:rPr>
        <w:rStyle w:val="PageNumber"/>
      </w:rPr>
      <w:fldChar w:fldCharType="end"/>
    </w:r>
    <w:r>
      <w:rPr>
        <w:rStyle w:val="PageNumber"/>
      </w:rPr>
      <w:tab/>
    </w:r>
    <w:r>
      <w:t>Section III. Evaluation and Qualification Criteria</w:t>
    </w:r>
  </w:p>
  <w:p w14:paraId="695DD482" w14:textId="77777777" w:rsidR="009443E9" w:rsidRDefault="009443E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42912">
      <w:rPr>
        <w:rStyle w:val="PageNumber"/>
        <w:noProof/>
      </w:rPr>
      <w:t>35</w:t>
    </w:r>
    <w:r>
      <w:rPr>
        <w:rStyle w:val="PageNumber"/>
      </w:rPr>
      <w:fldChar w:fldCharType="end"/>
    </w:r>
  </w:p>
  <w:p w14:paraId="47AFD98E" w14:textId="77777777" w:rsidR="009443E9" w:rsidRDefault="009443E9">
    <w:pPr>
      <w:pStyle w:val="Header"/>
      <w:ind w:right="-36"/>
    </w:pPr>
    <w:r>
      <w:t>Section III. Evaluation and Qualification Criteria</w:t>
    </w:r>
  </w:p>
  <w:p w14:paraId="4039E664" w14:textId="77777777" w:rsidR="009443E9" w:rsidRDefault="009443E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9443E9" w:rsidRDefault="009443E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31</w:t>
    </w:r>
    <w:r>
      <w:rPr>
        <w:rStyle w:val="PageNumber"/>
      </w:rPr>
      <w:fldChar w:fldCharType="end"/>
    </w:r>
  </w:p>
  <w:p w14:paraId="55E02856" w14:textId="77777777" w:rsidR="009443E9" w:rsidRDefault="009443E9"/>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9443E9" w:rsidRDefault="009443E9"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50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9443E9" w:rsidRDefault="009443E9"/>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42912">
      <w:rPr>
        <w:rStyle w:val="PageNumber"/>
        <w:noProof/>
      </w:rPr>
      <w:t>49</w:t>
    </w:r>
    <w:r>
      <w:rPr>
        <w:rStyle w:val="PageNumber"/>
      </w:rPr>
      <w:fldChar w:fldCharType="end"/>
    </w:r>
  </w:p>
  <w:p w14:paraId="286E723D" w14:textId="77777777" w:rsidR="009443E9" w:rsidRDefault="009443E9"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49</w:t>
    </w:r>
    <w:r>
      <w:rPr>
        <w:rStyle w:val="PageNumber"/>
      </w:rPr>
      <w:fldChar w:fldCharType="end"/>
    </w:r>
  </w:p>
  <w:p w14:paraId="30214D1A" w14:textId="77777777" w:rsidR="009443E9" w:rsidRDefault="009443E9"/>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9443E9" w:rsidRDefault="009443E9"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45</w:t>
    </w:r>
    <w:r>
      <w:rPr>
        <w:rStyle w:val="PageNumber"/>
      </w:rPr>
      <w:fldChar w:fldCharType="end"/>
    </w:r>
  </w:p>
  <w:p w14:paraId="780FCACE" w14:textId="77777777" w:rsidR="009443E9" w:rsidRDefault="009443E9"/>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9443E9" w:rsidRDefault="009443E9"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48</w:t>
    </w:r>
    <w:r>
      <w:rPr>
        <w:rStyle w:val="PageNumber"/>
      </w:rPr>
      <w:fldChar w:fldCharType="end"/>
    </w:r>
  </w:p>
  <w:p w14:paraId="717CB8CB" w14:textId="77777777" w:rsidR="009443E9" w:rsidRDefault="009443E9"/>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EB14" w14:textId="77777777" w:rsidR="009443E9" w:rsidRDefault="009443E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52</w:t>
    </w:r>
    <w:r>
      <w:rPr>
        <w:rStyle w:val="PageNumber"/>
      </w:rPr>
      <w:fldChar w:fldCharType="end"/>
    </w:r>
    <w:r>
      <w:rPr>
        <w:rStyle w:val="PageNumber"/>
      </w:rPr>
      <w:tab/>
    </w:r>
    <w:r>
      <w:t>Section VII Schedule of Requirements</w:t>
    </w:r>
  </w:p>
  <w:p w14:paraId="32F53DE0" w14:textId="77777777" w:rsidR="009443E9" w:rsidRDefault="009443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9443E9" w:rsidRDefault="009443E9">
    <w:pPr>
      <w:pStyle w:val="Header"/>
      <w:ind w:right="-36"/>
    </w:pPr>
    <w:r>
      <w:t>Section I. Instructions to Bidders</w:t>
    </w:r>
  </w:p>
  <w:p w14:paraId="15FE98DF" w14:textId="77777777" w:rsidR="009443E9" w:rsidRDefault="009443E9"/>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C62A7" w14:textId="77777777" w:rsidR="009443E9" w:rsidRDefault="009443E9">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53</w:t>
    </w:r>
    <w:r>
      <w:rPr>
        <w:rStyle w:val="PageNumber"/>
      </w:rPr>
      <w:fldChar w:fldCharType="end"/>
    </w:r>
  </w:p>
  <w:p w14:paraId="69018BBD" w14:textId="77777777" w:rsidR="009443E9" w:rsidRDefault="009443E9"/>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3B9AA" w14:textId="77777777" w:rsidR="009443E9" w:rsidRDefault="009443E9">
    <w:pPr>
      <w:pStyle w:val="Header"/>
    </w:pPr>
    <w: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51</w:t>
    </w:r>
    <w:r>
      <w:rPr>
        <w:rStyle w:val="PageNumber"/>
      </w:rPr>
      <w:fldChar w:fldCharType="end"/>
    </w:r>
  </w:p>
  <w:p w14:paraId="00E6A8AC" w14:textId="77777777" w:rsidR="009443E9" w:rsidRDefault="009443E9"/>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9443E9" w:rsidRDefault="009443E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54</w:t>
    </w:r>
    <w:r>
      <w:rPr>
        <w:rStyle w:val="PageNumber"/>
      </w:rPr>
      <w:fldChar w:fldCharType="end"/>
    </w:r>
    <w:r>
      <w:rPr>
        <w:rStyle w:val="PageNumber"/>
      </w:rPr>
      <w:tab/>
    </w:r>
    <w:r>
      <w:t>Section VII. Schedule of Requirements</w:t>
    </w:r>
  </w:p>
  <w:p w14:paraId="3B1690E0" w14:textId="77777777" w:rsidR="009443E9" w:rsidRDefault="009443E9"/>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9443E9" w:rsidRDefault="009443E9">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55</w:t>
    </w:r>
    <w:r>
      <w:rPr>
        <w:rStyle w:val="PageNumber"/>
      </w:rPr>
      <w:fldChar w:fldCharType="end"/>
    </w:r>
  </w:p>
  <w:p w14:paraId="793410ED" w14:textId="77777777" w:rsidR="009443E9" w:rsidRDefault="009443E9"/>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9443E9" w:rsidRDefault="009443E9">
    <w:pPr>
      <w:pStyle w:val="Header"/>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72</w:t>
    </w:r>
    <w:r>
      <w:rPr>
        <w:rStyle w:val="PageNumber"/>
      </w:rPr>
      <w:fldChar w:fldCharType="end"/>
    </w:r>
    <w:r>
      <w:tab/>
      <w:t>Section VIII.  General Conditions of Contract</w:t>
    </w:r>
    <w:r>
      <w:tab/>
    </w:r>
  </w:p>
  <w:p w14:paraId="18B82D51" w14:textId="77777777" w:rsidR="009443E9" w:rsidRDefault="009443E9"/>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9443E9" w:rsidRDefault="009443E9">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71</w:t>
    </w:r>
    <w:r>
      <w:rPr>
        <w:rStyle w:val="PageNumber"/>
      </w:rPr>
      <w:fldChar w:fldCharType="end"/>
    </w:r>
  </w:p>
  <w:p w14:paraId="52098366" w14:textId="77777777" w:rsidR="009443E9" w:rsidRDefault="009443E9"/>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9443E9" w:rsidRDefault="009443E9">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57</w:t>
    </w:r>
    <w:r>
      <w:rPr>
        <w:rStyle w:val="PageNumber"/>
      </w:rPr>
      <w:fldChar w:fldCharType="end"/>
    </w:r>
  </w:p>
  <w:p w14:paraId="7FFC4966" w14:textId="77777777" w:rsidR="009443E9" w:rsidRDefault="009443E9"/>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9443E9" w:rsidRDefault="009443E9">
    <w:pPr>
      <w:pStyle w:val="Header"/>
      <w:framePr w:wrap="around" w:vAnchor="text" w:hAnchor="page" w:x="1297" w:y="-2"/>
      <w:rPr>
        <w:rStyle w:val="PageNumber"/>
        <w:sz w:val="24"/>
      </w:rPr>
    </w:pPr>
  </w:p>
  <w:p w14:paraId="03F11D33" w14:textId="77777777" w:rsidR="009443E9" w:rsidRDefault="009443E9">
    <w:pPr>
      <w:pStyle w:val="Header"/>
      <w:ind w:right="72"/>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76</w:t>
    </w:r>
    <w:r>
      <w:rPr>
        <w:rStyle w:val="PageNumber"/>
      </w:rPr>
      <w:fldChar w:fldCharType="end"/>
    </w:r>
    <w:r>
      <w:rPr>
        <w:rStyle w:val="PageNumber"/>
      </w:rPr>
      <w:tab/>
      <w:t>Section IX.  Special Conditions of Contract</w:t>
    </w:r>
  </w:p>
  <w:p w14:paraId="53F9D1DE" w14:textId="77777777" w:rsidR="009443E9" w:rsidRDefault="009443E9"/>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9443E9" w:rsidRDefault="009443E9">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83</w:t>
    </w:r>
    <w:r>
      <w:rPr>
        <w:rStyle w:val="PageNumber"/>
      </w:rPr>
      <w:fldChar w:fldCharType="end"/>
    </w:r>
  </w:p>
  <w:p w14:paraId="17731FAA" w14:textId="77777777" w:rsidR="009443E9" w:rsidRDefault="009443E9"/>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9443E9" w:rsidRDefault="009443E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73</w:t>
    </w:r>
    <w:r>
      <w:rPr>
        <w:rStyle w:val="PageNumber"/>
      </w:rPr>
      <w:fldChar w:fldCharType="end"/>
    </w:r>
  </w:p>
  <w:p w14:paraId="79303224" w14:textId="77777777" w:rsidR="009443E9" w:rsidRDefault="009443E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9443E9" w:rsidRDefault="009443E9" w:rsidP="00BC7014">
    <w:pPr>
      <w:pStyle w:val="Header"/>
      <w:tabs>
        <w:tab w:val="right" w:pos="9720"/>
      </w:tabs>
      <w:ind w:right="-36"/>
      <w:jc w:val="lef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9443E9" w:rsidRDefault="009443E9"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84</w:t>
    </w:r>
    <w:r>
      <w:rPr>
        <w:rStyle w:val="PageNumber"/>
      </w:rPr>
      <w:fldChar w:fldCharType="end"/>
    </w:r>
    <w:r>
      <w:rPr>
        <w:rStyle w:val="PageNumber"/>
      </w:rPr>
      <w:tab/>
      <w:t>Invitation for Tenders</w:t>
    </w:r>
  </w:p>
  <w:p w14:paraId="661B31DF" w14:textId="77777777" w:rsidR="009443E9" w:rsidRDefault="009443E9"/>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9443E9" w:rsidRDefault="009443E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79</w:t>
    </w:r>
    <w:r>
      <w:rPr>
        <w:rStyle w:val="PageNumber"/>
      </w:rPr>
      <w:fldChar w:fldCharType="end"/>
    </w:r>
  </w:p>
  <w:p w14:paraId="359C72B4" w14:textId="77777777" w:rsidR="009443E9" w:rsidRDefault="009443E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9443E9" w:rsidRDefault="009443E9">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1</w:t>
    </w:r>
    <w:r>
      <w:rPr>
        <w:rStyle w:val="PageNumber"/>
      </w:rPr>
      <w:fldChar w:fldCharType="end"/>
    </w:r>
  </w:p>
  <w:p w14:paraId="4818BCE7" w14:textId="77777777" w:rsidR="009443E9" w:rsidRDefault="009443E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42912">
      <w:rPr>
        <w:rStyle w:val="PageNumber"/>
        <w:noProof/>
      </w:rPr>
      <w:t>20</w:t>
    </w:r>
    <w:r>
      <w:rPr>
        <w:rStyle w:val="PageNumber"/>
      </w:rPr>
      <w:fldChar w:fldCharType="end"/>
    </w:r>
  </w:p>
  <w:p w14:paraId="31F78A7A" w14:textId="77777777" w:rsidR="009443E9" w:rsidRDefault="009443E9" w:rsidP="00B95277">
    <w:pPr>
      <w:pStyle w:val="Header"/>
      <w:ind w:right="54" w:firstLine="360"/>
      <w:jc w:val="right"/>
    </w:pPr>
    <w:r>
      <w:t>Section I Instructions to Tenderers</w:t>
    </w:r>
  </w:p>
  <w:p w14:paraId="0088454A" w14:textId="77777777" w:rsidR="009443E9" w:rsidRDefault="009443E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42912">
      <w:rPr>
        <w:rStyle w:val="PageNumber"/>
        <w:noProof/>
      </w:rPr>
      <w:t>21</w:t>
    </w:r>
    <w:r>
      <w:rPr>
        <w:rStyle w:val="PageNumber"/>
      </w:rPr>
      <w:fldChar w:fldCharType="end"/>
    </w:r>
  </w:p>
  <w:p w14:paraId="195A56F2" w14:textId="77777777" w:rsidR="009443E9" w:rsidRDefault="009443E9" w:rsidP="00B95277">
    <w:pPr>
      <w:pStyle w:val="Header"/>
      <w:ind w:right="-36"/>
    </w:pPr>
    <w:r>
      <w:t>Section I Instructions to Tenderers</w:t>
    </w:r>
  </w:p>
  <w:p w14:paraId="39C64DF8" w14:textId="77777777" w:rsidR="009443E9" w:rsidRDefault="009443E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9443E9" w:rsidRDefault="009443E9">
    <w:pPr>
      <w:pStyle w:val="Header"/>
    </w:pPr>
    <w:r>
      <w:tab/>
    </w: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3</w:t>
    </w:r>
    <w:r>
      <w:rPr>
        <w:rStyle w:val="PageNumber"/>
      </w:rPr>
      <w:fldChar w:fldCharType="end"/>
    </w:r>
  </w:p>
  <w:p w14:paraId="5A0E8BE5" w14:textId="77777777" w:rsidR="009443E9" w:rsidRDefault="009443E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9443E9" w:rsidRDefault="009443E9"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242912">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242912">
      <w:rPr>
        <w:rStyle w:val="PageNumber"/>
        <w:noProof/>
      </w:rPr>
      <w:t>25</w:t>
    </w:r>
    <w:r>
      <w:rPr>
        <w:rStyle w:val="PageNumber"/>
      </w:rPr>
      <w:fldChar w:fldCharType="end"/>
    </w:r>
  </w:p>
  <w:p w14:paraId="4BE7B2C8" w14:textId="77777777" w:rsidR="009443E9" w:rsidRDefault="009443E9">
    <w:pPr>
      <w:pStyle w:val="Header"/>
      <w:ind w:right="-36"/>
    </w:pPr>
    <w:r>
      <w:t>Section II Bid Data Sheet</w:t>
    </w:r>
  </w:p>
  <w:p w14:paraId="12C27E39" w14:textId="77777777" w:rsidR="009443E9" w:rsidRDefault="009443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4">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2D055E"/>
    <w:multiLevelType w:val="singleLevel"/>
    <w:tmpl w:val="9F6ECAF2"/>
    <w:lvl w:ilvl="0">
      <w:start w:val="1"/>
      <w:numFmt w:val="decimal"/>
      <w:lvlText w:val="%1."/>
      <w:lvlJc w:val="left"/>
      <w:pPr>
        <w:tabs>
          <w:tab w:val="num" w:pos="450"/>
        </w:tabs>
        <w:ind w:left="450" w:hanging="360"/>
      </w:pPr>
    </w:lvl>
  </w:abstractNum>
  <w:abstractNum w:abstractNumId="81">
    <w:nsid w:val="63D95966"/>
    <w:multiLevelType w:val="singleLevel"/>
    <w:tmpl w:val="ED7A1628"/>
    <w:lvl w:ilvl="0">
      <w:start w:val="1"/>
      <w:numFmt w:val="decimal"/>
      <w:lvlText w:val="%1."/>
      <w:lvlJc w:val="left"/>
      <w:pPr>
        <w:tabs>
          <w:tab w:val="num" w:pos="360"/>
        </w:tabs>
        <w:ind w:left="360" w:hanging="360"/>
      </w:pPr>
    </w:lvl>
  </w:abstractNum>
  <w:abstractNum w:abstractNumId="82">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2">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3">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4">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3"/>
  </w:num>
  <w:num w:numId="2">
    <w:abstractNumId w:val="103"/>
  </w:num>
  <w:num w:numId="3">
    <w:abstractNumId w:val="35"/>
  </w:num>
  <w:num w:numId="4">
    <w:abstractNumId w:val="20"/>
  </w:num>
  <w:num w:numId="5">
    <w:abstractNumId w:val="12"/>
  </w:num>
  <w:num w:numId="6">
    <w:abstractNumId w:val="7"/>
  </w:num>
  <w:num w:numId="7">
    <w:abstractNumId w:val="38"/>
  </w:num>
  <w:num w:numId="8">
    <w:abstractNumId w:val="87"/>
  </w:num>
  <w:num w:numId="9">
    <w:abstractNumId w:val="51"/>
  </w:num>
  <w:num w:numId="10">
    <w:abstractNumId w:val="95"/>
  </w:num>
  <w:num w:numId="11">
    <w:abstractNumId w:val="0"/>
  </w:num>
  <w:num w:numId="12">
    <w:abstractNumId w:val="23"/>
  </w:num>
  <w:num w:numId="13">
    <w:abstractNumId w:val="25"/>
  </w:num>
  <w:num w:numId="14">
    <w:abstractNumId w:val="75"/>
  </w:num>
  <w:num w:numId="15">
    <w:abstractNumId w:val="15"/>
  </w:num>
  <w:num w:numId="16">
    <w:abstractNumId w:val="93"/>
  </w:num>
  <w:num w:numId="17">
    <w:abstractNumId w:val="99"/>
  </w:num>
  <w:num w:numId="18">
    <w:abstractNumId w:val="48"/>
  </w:num>
  <w:num w:numId="19">
    <w:abstractNumId w:val="68"/>
  </w:num>
  <w:num w:numId="20">
    <w:abstractNumId w:val="41"/>
  </w:num>
  <w:num w:numId="21">
    <w:abstractNumId w:val="36"/>
  </w:num>
  <w:num w:numId="22">
    <w:abstractNumId w:val="70"/>
  </w:num>
  <w:num w:numId="23">
    <w:abstractNumId w:val="54"/>
  </w:num>
  <w:num w:numId="24">
    <w:abstractNumId w:val="40"/>
  </w:num>
  <w:num w:numId="25">
    <w:abstractNumId w:val="88"/>
  </w:num>
  <w:num w:numId="26">
    <w:abstractNumId w:val="5"/>
  </w:num>
  <w:num w:numId="27">
    <w:abstractNumId w:val="92"/>
  </w:num>
  <w:num w:numId="28">
    <w:abstractNumId w:val="55"/>
  </w:num>
  <w:num w:numId="29">
    <w:abstractNumId w:val="19"/>
  </w:num>
  <w:num w:numId="30">
    <w:abstractNumId w:val="89"/>
  </w:num>
  <w:num w:numId="31">
    <w:abstractNumId w:val="60"/>
  </w:num>
  <w:num w:numId="32">
    <w:abstractNumId w:val="94"/>
  </w:num>
  <w:num w:numId="33">
    <w:abstractNumId w:val="16"/>
  </w:num>
  <w:num w:numId="34">
    <w:abstractNumId w:val="6"/>
  </w:num>
  <w:num w:numId="35">
    <w:abstractNumId w:val="33"/>
  </w:num>
  <w:num w:numId="36">
    <w:abstractNumId w:val="24"/>
  </w:num>
  <w:num w:numId="37">
    <w:abstractNumId w:val="10"/>
  </w:num>
  <w:num w:numId="38">
    <w:abstractNumId w:val="52"/>
  </w:num>
  <w:num w:numId="39">
    <w:abstractNumId w:val="72"/>
  </w:num>
  <w:num w:numId="40">
    <w:abstractNumId w:val="4"/>
  </w:num>
  <w:num w:numId="41">
    <w:abstractNumId w:val="66"/>
  </w:num>
  <w:num w:numId="42">
    <w:abstractNumId w:val="98"/>
  </w:num>
  <w:num w:numId="43">
    <w:abstractNumId w:val="63"/>
  </w:num>
  <w:num w:numId="44">
    <w:abstractNumId w:val="96"/>
  </w:num>
  <w:num w:numId="45">
    <w:abstractNumId w:val="61"/>
  </w:num>
  <w:num w:numId="46">
    <w:abstractNumId w:val="28"/>
  </w:num>
  <w:num w:numId="47">
    <w:abstractNumId w:val="30"/>
  </w:num>
  <w:num w:numId="48">
    <w:abstractNumId w:val="14"/>
  </w:num>
  <w:num w:numId="49">
    <w:abstractNumId w:val="32"/>
  </w:num>
  <w:num w:numId="50">
    <w:abstractNumId w:val="65"/>
  </w:num>
  <w:num w:numId="51">
    <w:abstractNumId w:val="50"/>
  </w:num>
  <w:num w:numId="52">
    <w:abstractNumId w:val="86"/>
  </w:num>
  <w:num w:numId="53">
    <w:abstractNumId w:val="27"/>
  </w:num>
  <w:num w:numId="54">
    <w:abstractNumId w:val="2"/>
  </w:num>
  <w:num w:numId="55">
    <w:abstractNumId w:val="101"/>
  </w:num>
  <w:num w:numId="56">
    <w:abstractNumId w:val="62"/>
  </w:num>
  <w:num w:numId="57">
    <w:abstractNumId w:val="11"/>
  </w:num>
  <w:num w:numId="58">
    <w:abstractNumId w:val="31"/>
  </w:num>
  <w:num w:numId="59">
    <w:abstractNumId w:val="39"/>
  </w:num>
  <w:num w:numId="60">
    <w:abstractNumId w:val="67"/>
  </w:num>
  <w:num w:numId="61">
    <w:abstractNumId w:val="77"/>
  </w:num>
  <w:num w:numId="62">
    <w:abstractNumId w:val="71"/>
  </w:num>
  <w:num w:numId="63">
    <w:abstractNumId w:val="29"/>
  </w:num>
  <w:num w:numId="64">
    <w:abstractNumId w:val="21"/>
  </w:num>
  <w:num w:numId="65">
    <w:abstractNumId w:val="13"/>
  </w:num>
  <w:num w:numId="66">
    <w:abstractNumId w:val="43"/>
  </w:num>
  <w:num w:numId="67">
    <w:abstractNumId w:val="1"/>
  </w:num>
  <w:num w:numId="68">
    <w:abstractNumId w:val="85"/>
  </w:num>
  <w:num w:numId="69">
    <w:abstractNumId w:val="82"/>
  </w:num>
  <w:num w:numId="70">
    <w:abstractNumId w:val="18"/>
  </w:num>
  <w:num w:numId="71">
    <w:abstractNumId w:val="8"/>
  </w:num>
  <w:num w:numId="72">
    <w:abstractNumId w:val="22"/>
  </w:num>
  <w:num w:numId="73">
    <w:abstractNumId w:val="26"/>
  </w:num>
  <w:num w:numId="74">
    <w:abstractNumId w:val="91"/>
  </w:num>
  <w:num w:numId="75">
    <w:abstractNumId w:val="59"/>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num>
  <w:num w:numId="78">
    <w:abstractNumId w:val="42"/>
  </w:num>
  <w:num w:numId="79">
    <w:abstractNumId w:val="100"/>
  </w:num>
  <w:num w:numId="80">
    <w:abstractNumId w:val="45"/>
  </w:num>
  <w:num w:numId="81">
    <w:abstractNumId w:val="80"/>
  </w:num>
  <w:num w:numId="82">
    <w:abstractNumId w:val="76"/>
  </w:num>
  <w:num w:numId="83">
    <w:abstractNumId w:val="57"/>
  </w:num>
  <w:num w:numId="84">
    <w:abstractNumId w:val="9"/>
  </w:num>
  <w:num w:numId="85">
    <w:abstractNumId w:val="49"/>
  </w:num>
  <w:num w:numId="86">
    <w:abstractNumId w:val="90"/>
  </w:num>
  <w:num w:numId="87">
    <w:abstractNumId w:val="47"/>
  </w:num>
  <w:num w:numId="88">
    <w:abstractNumId w:val="44"/>
  </w:num>
  <w:num w:numId="89">
    <w:abstractNumId w:val="84"/>
  </w:num>
  <w:num w:numId="90">
    <w:abstractNumId w:val="74"/>
  </w:num>
  <w:num w:numId="91">
    <w:abstractNumId w:val="3"/>
  </w:num>
  <w:num w:numId="92">
    <w:abstractNumId w:val="79"/>
  </w:num>
  <w:num w:numId="93">
    <w:abstractNumId w:val="64"/>
  </w:num>
  <w:num w:numId="94">
    <w:abstractNumId w:val="78"/>
  </w:num>
  <w:num w:numId="95">
    <w:abstractNumId w:val="104"/>
  </w:num>
  <w:num w:numId="96">
    <w:abstractNumId w:val="46"/>
  </w:num>
  <w:num w:numId="97">
    <w:abstractNumId w:val="53"/>
  </w:num>
  <w:num w:numId="98">
    <w:abstractNumId w:val="102"/>
  </w:num>
  <w:num w:numId="99">
    <w:abstractNumId w:val="58"/>
  </w:num>
  <w:num w:numId="100">
    <w:abstractNumId w:val="81"/>
  </w:num>
  <w:num w:numId="101">
    <w:abstractNumId w:val="37"/>
  </w:num>
  <w:num w:numId="102">
    <w:abstractNumId w:val="97"/>
  </w:num>
  <w:num w:numId="103">
    <w:abstractNumId w:val="69"/>
  </w:num>
  <w:num w:numId="104">
    <w:abstractNumId w:val="56"/>
  </w:num>
  <w:num w:numId="105">
    <w:abstractNumId w:val="8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1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eader" Target="header2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8.xml"/><Relationship Id="rId44"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theme" Target="theme/theme1.xml"/><Relationship Id="rId20" Type="http://schemas.openxmlformats.org/officeDocument/2006/relationships/hyperlink" Target="mailto:aishath.nadheema@finance.gov.mv" TargetMode="External"/><Relationship Id="rId41"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58428-E422-420F-81D2-7E92CEA90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86</Pages>
  <Words>20355</Words>
  <Characters>116026</Characters>
  <Application>Microsoft Office Word</Application>
  <DocSecurity>0</DocSecurity>
  <Lines>966</Lines>
  <Paragraphs>272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136109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13</cp:revision>
  <cp:lastPrinted>2016-08-16T04:08:00Z</cp:lastPrinted>
  <dcterms:created xsi:type="dcterms:W3CDTF">2018-04-25T03:27:00Z</dcterms:created>
  <dcterms:modified xsi:type="dcterms:W3CDTF">2019-01-30T05:33:00Z</dcterms:modified>
</cp:coreProperties>
</file>