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3B25F2A6" w14:textId="0ED4B88E"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w:t>
      </w:r>
      <w:r w:rsidR="00C87FF9">
        <w:rPr>
          <w:rFonts w:ascii="Times New Roman" w:hAnsi="Times New Roman"/>
          <w:sz w:val="24"/>
          <w:szCs w:val="24"/>
        </w:rPr>
        <w:t>I</w:t>
      </w:r>
      <w:r>
        <w:rPr>
          <w:rFonts w:ascii="Times New Roman" w:hAnsi="Times New Roman"/>
          <w:sz w:val="24"/>
          <w:szCs w:val="24"/>
        </w:rPr>
        <w:t xml:space="preserve">X - </w:t>
      </w:r>
      <w:r w:rsidR="002D7AFC" w:rsidRPr="00720B15">
        <w:rPr>
          <w:rFonts w:ascii="Times New Roman" w:hAnsi="Times New Roman"/>
          <w:sz w:val="24"/>
          <w:szCs w:val="24"/>
        </w:rPr>
        <w:t xml:space="preserve">Typical Drawings </w:t>
      </w:r>
    </w:p>
    <w:p w14:paraId="138774BD" w14:textId="11B8D28A"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C30274"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C30274" w:rsidRDefault="002D0B0B" w:rsidP="00E00AAD">
            <w:pPr>
              <w:rPr>
                <w:rFonts w:ascii="Times New Roman" w:hAnsi="Times New Roman" w:cs="Times New Roman"/>
              </w:rPr>
            </w:pPr>
            <w:r w:rsidRPr="00C30274">
              <w:rPr>
                <w:rFonts w:ascii="Times New Roman" w:hAnsi="Times New Roman" w:cs="Times New Roman"/>
              </w:rPr>
              <w:t>Name of the island</w:t>
            </w:r>
          </w:p>
        </w:tc>
        <w:tc>
          <w:tcPr>
            <w:tcW w:w="4510" w:type="dxa"/>
          </w:tcPr>
          <w:p w14:paraId="0D182E61" w14:textId="70CA6491" w:rsidR="002D0B0B" w:rsidRPr="00C30274" w:rsidRDefault="00AF698A"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K. </w:t>
            </w:r>
            <w:proofErr w:type="spellStart"/>
            <w:r>
              <w:rPr>
                <w:rFonts w:ascii="Times New Roman" w:hAnsi="Times New Roman" w:cs="Times New Roman"/>
              </w:rPr>
              <w:t>Thulusdhoo</w:t>
            </w:r>
            <w:proofErr w:type="spellEnd"/>
          </w:p>
        </w:tc>
      </w:tr>
      <w:tr w:rsidR="002D0B0B" w:rsidRPr="00C30274"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C30274" w:rsidRDefault="002D0B0B" w:rsidP="00E00AAD">
            <w:pPr>
              <w:rPr>
                <w:rFonts w:ascii="Times New Roman" w:hAnsi="Times New Roman" w:cs="Times New Roman"/>
              </w:rPr>
            </w:pPr>
            <w:r w:rsidRPr="00C30274">
              <w:rPr>
                <w:rFonts w:ascii="Times New Roman" w:hAnsi="Times New Roman" w:cs="Times New Roman"/>
              </w:rPr>
              <w:t>Type of System</w:t>
            </w:r>
          </w:p>
        </w:tc>
        <w:tc>
          <w:tcPr>
            <w:tcW w:w="4510" w:type="dxa"/>
          </w:tcPr>
          <w:p w14:paraId="5D95B0AA" w14:textId="60804850" w:rsidR="002D0B0B" w:rsidRPr="00C30274" w:rsidRDefault="0052041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30274">
              <w:rPr>
                <w:rFonts w:ascii="Times New Roman" w:hAnsi="Times New Roman" w:cs="Times New Roman"/>
              </w:rPr>
              <w:t>Water Supply Facilities</w:t>
            </w:r>
          </w:p>
        </w:tc>
      </w:tr>
      <w:tr w:rsidR="002D0B0B" w:rsidRPr="00C30274"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C30274" w:rsidRDefault="002D0B0B" w:rsidP="00E00AAD">
            <w:pPr>
              <w:rPr>
                <w:rFonts w:ascii="Times New Roman" w:hAnsi="Times New Roman" w:cs="Times New Roman"/>
              </w:rPr>
            </w:pPr>
            <w:r w:rsidRPr="00C30274">
              <w:rPr>
                <w:rFonts w:ascii="Times New Roman" w:hAnsi="Times New Roman" w:cs="Times New Roman"/>
              </w:rPr>
              <w:t xml:space="preserve">Population (2020 </w:t>
            </w:r>
            <w:r w:rsidR="002A3C47" w:rsidRPr="00C30274">
              <w:rPr>
                <w:rFonts w:ascii="Times New Roman" w:hAnsi="Times New Roman" w:cs="Times New Roman"/>
              </w:rPr>
              <w:t>Registered) *</w:t>
            </w:r>
          </w:p>
        </w:tc>
        <w:tc>
          <w:tcPr>
            <w:tcW w:w="4510" w:type="dxa"/>
          </w:tcPr>
          <w:p w14:paraId="6D791341" w14:textId="7C9D82A0"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1561</w:t>
            </w:r>
          </w:p>
        </w:tc>
      </w:tr>
      <w:tr w:rsidR="002D0B0B" w:rsidRPr="00C30274"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C30274" w:rsidRDefault="002D0B0B" w:rsidP="00E00AAD">
            <w:pPr>
              <w:rPr>
                <w:rFonts w:ascii="Times New Roman" w:hAnsi="Times New Roman" w:cs="Times New Roman"/>
              </w:rPr>
            </w:pPr>
            <w:r w:rsidRPr="00C30274">
              <w:rPr>
                <w:rFonts w:ascii="Times New Roman" w:hAnsi="Times New Roman" w:cs="Times New Roman"/>
              </w:rPr>
              <w:t>Number of Households</w:t>
            </w:r>
            <w:r w:rsidR="002E47DF" w:rsidRPr="00C30274">
              <w:rPr>
                <w:rFonts w:ascii="Times New Roman" w:hAnsi="Times New Roman" w:cs="Times New Roman"/>
              </w:rPr>
              <w:t xml:space="preserve"> </w:t>
            </w:r>
          </w:p>
        </w:tc>
        <w:tc>
          <w:tcPr>
            <w:tcW w:w="4510" w:type="dxa"/>
          </w:tcPr>
          <w:p w14:paraId="0F04DA01" w14:textId="27BCA39F"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215</w:t>
            </w:r>
          </w:p>
        </w:tc>
      </w:tr>
      <w:tr w:rsidR="002D0B0B" w:rsidRPr="00C30274"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C30274" w:rsidRDefault="002D0B0B" w:rsidP="00E00AAD">
            <w:pPr>
              <w:rPr>
                <w:rFonts w:ascii="Times New Roman" w:hAnsi="Times New Roman" w:cs="Times New Roman"/>
              </w:rPr>
            </w:pPr>
            <w:r w:rsidRPr="00C30274">
              <w:rPr>
                <w:rFonts w:ascii="Times New Roman" w:hAnsi="Times New Roman" w:cs="Times New Roman"/>
              </w:rPr>
              <w:t>Estimated Number of Institutional/Commercial Connections</w:t>
            </w:r>
          </w:p>
        </w:tc>
        <w:tc>
          <w:tcPr>
            <w:tcW w:w="4510" w:type="dxa"/>
          </w:tcPr>
          <w:p w14:paraId="6F1710FE" w14:textId="1B9E4579" w:rsidR="002D0B0B" w:rsidRPr="00C30274" w:rsidRDefault="003B417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w:t>
            </w:r>
          </w:p>
        </w:tc>
      </w:tr>
      <w:tr w:rsidR="002D0B0B" w:rsidRPr="00C30274"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4A7CCFE8" w:rsidR="002D0B0B" w:rsidRPr="00C30274" w:rsidRDefault="002D0B0B" w:rsidP="00E00AAD">
            <w:pPr>
              <w:rPr>
                <w:rFonts w:ascii="Times New Roman" w:hAnsi="Times New Roman" w:cs="Times New Roman"/>
              </w:rPr>
            </w:pPr>
            <w:r w:rsidRPr="00C30274">
              <w:rPr>
                <w:rFonts w:ascii="Times New Roman" w:hAnsi="Times New Roman" w:cs="Times New Roman"/>
              </w:rPr>
              <w:t xml:space="preserve">Estimated </w:t>
            </w:r>
            <w:r w:rsidR="00010612" w:rsidRPr="00C30274">
              <w:rPr>
                <w:rFonts w:ascii="Times New Roman" w:hAnsi="Times New Roman" w:cs="Times New Roman"/>
              </w:rPr>
              <w:t xml:space="preserve">Water </w:t>
            </w:r>
            <w:r w:rsidRPr="00C30274">
              <w:rPr>
                <w:rFonts w:ascii="Times New Roman" w:hAnsi="Times New Roman" w:cs="Times New Roman"/>
              </w:rPr>
              <w:t>Network Length (m)</w:t>
            </w:r>
          </w:p>
        </w:tc>
        <w:tc>
          <w:tcPr>
            <w:tcW w:w="4510" w:type="dxa"/>
          </w:tcPr>
          <w:p w14:paraId="0E467085" w14:textId="6DEE4304"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20,814</w:t>
            </w:r>
          </w:p>
        </w:tc>
      </w:tr>
      <w:tr w:rsidR="002D0B0B" w:rsidRPr="00C30274"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2D0B0B" w:rsidRPr="00C30274" w:rsidRDefault="002D0B0B" w:rsidP="002D0B0B">
            <w:pPr>
              <w:rPr>
                <w:rFonts w:ascii="Times New Roman" w:hAnsi="Times New Roman" w:cs="Times New Roman"/>
              </w:rPr>
            </w:pPr>
            <w:r w:rsidRPr="00C30274">
              <w:rPr>
                <w:rFonts w:ascii="Times New Roman" w:hAnsi="Times New Roman" w:cs="Times New Roman"/>
              </w:rPr>
              <w:t>Estimated RO Plant Capacity (</w:t>
            </w:r>
            <w:r w:rsidR="002A3C47" w:rsidRPr="00C30274">
              <w:rPr>
                <w:rFonts w:ascii="Times New Roman" w:hAnsi="Times New Roman" w:cs="Times New Roman"/>
              </w:rPr>
              <w:t>CBM/Day</w:t>
            </w:r>
            <w:r w:rsidRPr="00C30274">
              <w:rPr>
                <w:rFonts w:ascii="Times New Roman" w:hAnsi="Times New Roman" w:cs="Times New Roman"/>
              </w:rPr>
              <w:t xml:space="preserve">) – 2 </w:t>
            </w:r>
            <w:proofErr w:type="spellStart"/>
            <w:r w:rsidRPr="00C30274">
              <w:rPr>
                <w:rFonts w:ascii="Times New Roman" w:hAnsi="Times New Roman" w:cs="Times New Roman"/>
              </w:rPr>
              <w:t>nos</w:t>
            </w:r>
            <w:proofErr w:type="spellEnd"/>
            <w:r w:rsidR="002A3C47" w:rsidRPr="00C30274">
              <w:rPr>
                <w:rFonts w:ascii="Times New Roman" w:hAnsi="Times New Roman" w:cs="Times New Roman"/>
              </w:rPr>
              <w:t xml:space="preserve"> of equal capacity </w:t>
            </w:r>
          </w:p>
        </w:tc>
        <w:tc>
          <w:tcPr>
            <w:tcW w:w="4510" w:type="dxa"/>
          </w:tcPr>
          <w:p w14:paraId="6C97682B" w14:textId="56CD36FA"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105</w:t>
            </w:r>
          </w:p>
        </w:tc>
      </w:tr>
      <w:tr w:rsidR="002D0B0B" w:rsidRPr="00C30274"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2D0B0B" w:rsidRPr="00C30274" w:rsidRDefault="002D0B0B" w:rsidP="002D0B0B">
            <w:pPr>
              <w:rPr>
                <w:rFonts w:ascii="Times New Roman" w:hAnsi="Times New Roman" w:cs="Times New Roman"/>
              </w:rPr>
            </w:pPr>
            <w:r w:rsidRPr="00C30274">
              <w:rPr>
                <w:rFonts w:ascii="Times New Roman" w:hAnsi="Times New Roman" w:cs="Times New Roman"/>
              </w:rPr>
              <w:t xml:space="preserve">Estimated Product water tank capacity (CBM) – 2 </w:t>
            </w:r>
            <w:proofErr w:type="spellStart"/>
            <w:r w:rsidRPr="00C30274">
              <w:rPr>
                <w:rFonts w:ascii="Times New Roman" w:hAnsi="Times New Roman" w:cs="Times New Roman"/>
              </w:rPr>
              <w:t>nos</w:t>
            </w:r>
            <w:proofErr w:type="spellEnd"/>
            <w:r w:rsidR="002A3C47" w:rsidRPr="00C30274">
              <w:rPr>
                <w:rFonts w:ascii="Times New Roman" w:hAnsi="Times New Roman" w:cs="Times New Roman"/>
              </w:rPr>
              <w:t xml:space="preserve"> of equal capacity </w:t>
            </w:r>
          </w:p>
        </w:tc>
        <w:tc>
          <w:tcPr>
            <w:tcW w:w="4510" w:type="dxa"/>
          </w:tcPr>
          <w:p w14:paraId="790171C1" w14:textId="3ECE64CA"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775</w:t>
            </w:r>
          </w:p>
        </w:tc>
      </w:tr>
      <w:tr w:rsidR="002D0B0B" w:rsidRPr="00C30274"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2D0B0B" w:rsidRPr="00C30274" w:rsidRDefault="002D0B0B" w:rsidP="002D0B0B">
            <w:pPr>
              <w:rPr>
                <w:rFonts w:ascii="Times New Roman" w:hAnsi="Times New Roman" w:cs="Times New Roman"/>
              </w:rPr>
            </w:pPr>
            <w:r w:rsidRPr="00C30274">
              <w:rPr>
                <w:rFonts w:ascii="Times New Roman" w:hAnsi="Times New Roman" w:cs="Times New Roman"/>
              </w:rPr>
              <w:t xml:space="preserve">Estimated Rainwater Collection Tank Capacity (CBM) – 1 </w:t>
            </w:r>
            <w:proofErr w:type="spellStart"/>
            <w:r w:rsidRPr="00C30274">
              <w:rPr>
                <w:rFonts w:ascii="Times New Roman" w:hAnsi="Times New Roman" w:cs="Times New Roman"/>
              </w:rPr>
              <w:t>nos</w:t>
            </w:r>
            <w:proofErr w:type="spellEnd"/>
          </w:p>
        </w:tc>
        <w:tc>
          <w:tcPr>
            <w:tcW w:w="4510" w:type="dxa"/>
          </w:tcPr>
          <w:p w14:paraId="444F8B95" w14:textId="49A0E358" w:rsidR="002D0B0B" w:rsidRPr="00C30274" w:rsidRDefault="00AF698A"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800</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lastRenderedPageBreak/>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w:t>
      </w:r>
      <w:proofErr w:type="spellStart"/>
      <w:r w:rsidRPr="00F85F98">
        <w:rPr>
          <w:rFonts w:ascii="Times New Roman" w:hAnsi="Times New Roman"/>
          <w:sz w:val="24"/>
          <w:szCs w:val="24"/>
        </w:rPr>
        <w:t>nos</w:t>
      </w:r>
      <w:proofErr w:type="spellEnd"/>
      <w:r w:rsidRPr="00F85F98">
        <w:rPr>
          <w:rFonts w:ascii="Times New Roman" w:hAnsi="Times New Roman"/>
          <w:sz w:val="24"/>
          <w:szCs w:val="24"/>
        </w:rPr>
        <w:t xml:space="preserve">)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w:t>
      </w:r>
      <w:r>
        <w:rPr>
          <w:rFonts w:ascii="Times New Roman" w:hAnsi="Times New Roman"/>
          <w:sz w:val="24"/>
          <w:szCs w:val="24"/>
        </w:rPr>
        <w:lastRenderedPageBreak/>
        <w:t xml:space="preserve">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lastRenderedPageBreak/>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06D274A9"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w:t>
      </w:r>
      <w:r w:rsidRPr="00FC2726">
        <w:rPr>
          <w:rFonts w:ascii="Times New Roman" w:hAnsi="Times New Roman"/>
          <w:sz w:val="24"/>
          <w:szCs w:val="24"/>
        </w:rPr>
        <w:t xml:space="preserve">should be identified in consultation with island councils and based on approved land use plans of the island. </w:t>
      </w:r>
    </w:p>
    <w:p w14:paraId="52D23150" w14:textId="5801F54E" w:rsidR="00C87FF9" w:rsidRDefault="00C87FF9" w:rsidP="00C87FF9">
      <w:pPr>
        <w:spacing w:line="360" w:lineRule="auto"/>
        <w:jc w:val="both"/>
        <w:rPr>
          <w:rFonts w:ascii="Times New Roman" w:hAnsi="Times New Roman"/>
          <w:sz w:val="24"/>
          <w:szCs w:val="24"/>
        </w:rPr>
      </w:pPr>
    </w:p>
    <w:p w14:paraId="5E2C9A29" w14:textId="7022F527" w:rsidR="00C87FF9" w:rsidRDefault="00C87FF9" w:rsidP="00C87FF9">
      <w:pPr>
        <w:spacing w:line="360" w:lineRule="auto"/>
        <w:jc w:val="both"/>
        <w:rPr>
          <w:rFonts w:ascii="Times New Roman" w:hAnsi="Times New Roman"/>
          <w:sz w:val="24"/>
          <w:szCs w:val="24"/>
        </w:rPr>
      </w:pPr>
    </w:p>
    <w:p w14:paraId="0823C658" w14:textId="5F7CC41B" w:rsidR="00C87FF9" w:rsidRDefault="00C87FF9" w:rsidP="00C87FF9">
      <w:pPr>
        <w:spacing w:line="360" w:lineRule="auto"/>
        <w:jc w:val="both"/>
        <w:rPr>
          <w:rFonts w:ascii="Times New Roman" w:hAnsi="Times New Roman"/>
          <w:sz w:val="24"/>
          <w:szCs w:val="24"/>
        </w:rPr>
      </w:pPr>
    </w:p>
    <w:p w14:paraId="507C2B1B" w14:textId="468E88D8" w:rsidR="00C87FF9" w:rsidRDefault="00C87FF9" w:rsidP="00C87FF9">
      <w:pPr>
        <w:spacing w:line="360" w:lineRule="auto"/>
        <w:jc w:val="both"/>
        <w:rPr>
          <w:rFonts w:ascii="Times New Roman" w:hAnsi="Times New Roman"/>
          <w:sz w:val="24"/>
          <w:szCs w:val="24"/>
        </w:rPr>
      </w:pPr>
    </w:p>
    <w:p w14:paraId="641B0E32" w14:textId="77777777" w:rsidR="00C87FF9" w:rsidRPr="00C87FF9" w:rsidRDefault="00C87FF9" w:rsidP="00C87FF9">
      <w:pPr>
        <w:spacing w:line="360" w:lineRule="auto"/>
        <w:jc w:val="both"/>
        <w:rPr>
          <w:rFonts w:ascii="Times New Roman" w:hAnsi="Times New Roman"/>
          <w:sz w:val="24"/>
          <w:szCs w:val="24"/>
        </w:rPr>
      </w:pP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lastRenderedPageBreak/>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7CFC80E2" w:rsidR="009D5532" w:rsidRDefault="009D5532" w:rsidP="009D5532">
      <w:pPr>
        <w:tabs>
          <w:tab w:val="left" w:pos="1170"/>
        </w:tabs>
        <w:spacing w:line="360" w:lineRule="auto"/>
        <w:jc w:val="both"/>
        <w:rPr>
          <w:rFonts w:ascii="Times New Roman" w:hAnsi="Times New Roman"/>
          <w:sz w:val="24"/>
          <w:szCs w:val="24"/>
          <w:u w:val="single"/>
        </w:rPr>
      </w:pPr>
    </w:p>
    <w:p w14:paraId="7DE94D71" w14:textId="7A4CE541" w:rsidR="00C87FF9" w:rsidRDefault="00C87FF9" w:rsidP="009D5532">
      <w:pPr>
        <w:tabs>
          <w:tab w:val="left" w:pos="1170"/>
        </w:tabs>
        <w:spacing w:line="360" w:lineRule="auto"/>
        <w:jc w:val="both"/>
        <w:rPr>
          <w:rFonts w:ascii="Times New Roman" w:hAnsi="Times New Roman"/>
          <w:sz w:val="24"/>
          <w:szCs w:val="24"/>
          <w:u w:val="single"/>
        </w:rPr>
      </w:pPr>
    </w:p>
    <w:p w14:paraId="7303DC88" w14:textId="77777777" w:rsidR="00C87FF9" w:rsidRDefault="00C87FF9"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AEED75C" w14:textId="54AB4B1E" w:rsidR="00C87FF9" w:rsidRPr="00C87FF9" w:rsidRDefault="00AD570A" w:rsidP="00C87FF9">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4A6DA9DC" w:rsidR="009B562F" w:rsidRDefault="009B562F" w:rsidP="003836BD">
      <w:pPr>
        <w:spacing w:line="360" w:lineRule="auto"/>
        <w:rPr>
          <w:rFonts w:ascii="Times New Roman" w:hAnsi="Times New Roman" w:cs="Times New Roman"/>
          <w:sz w:val="24"/>
          <w:szCs w:val="24"/>
        </w:rPr>
      </w:pPr>
    </w:p>
    <w:p w14:paraId="6C1A4405" w14:textId="46B0719F" w:rsidR="00C87FF9" w:rsidRDefault="00C87FF9" w:rsidP="003836BD">
      <w:pPr>
        <w:spacing w:line="360" w:lineRule="auto"/>
        <w:rPr>
          <w:rFonts w:ascii="Times New Roman" w:hAnsi="Times New Roman" w:cs="Times New Roman"/>
          <w:sz w:val="24"/>
          <w:szCs w:val="24"/>
        </w:rPr>
      </w:pPr>
    </w:p>
    <w:p w14:paraId="7A03B9B3" w14:textId="77777777" w:rsidR="00C87FF9" w:rsidRPr="007C073E" w:rsidRDefault="00C87FF9"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67D8382B" w:rsidR="00AD570A" w:rsidRPr="00F356D7" w:rsidRDefault="00AD570A" w:rsidP="00C87FF9">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facilities including detailed calculation and analysis of water distribution network, rainwater network</w:t>
      </w:r>
      <w:r w:rsidR="00C87FF9">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79642BFF"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Rainwater network profile</w:t>
      </w:r>
      <w:r w:rsidR="00C87FF9">
        <w:rPr>
          <w:rFonts w:ascii="Times New Roman" w:hAnsi="Times New Roman"/>
          <w:sz w:val="24"/>
          <w:szCs w:val="24"/>
        </w:rPr>
        <w:t xml:space="preserve"> drawings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12F8CE33"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w:t>
      </w:r>
      <w:proofErr w:type="spellStart"/>
      <w:r>
        <w:rPr>
          <w:rFonts w:ascii="Times New Roman" w:hAnsi="Times New Roman"/>
          <w:sz w:val="24"/>
          <w:szCs w:val="24"/>
        </w:rPr>
        <w:t>etc</w:t>
      </w:r>
      <w:proofErr w:type="spellEnd"/>
      <w:r>
        <w:rPr>
          <w:rFonts w:ascii="Times New Roman" w:hAnsi="Times New Roman"/>
          <w:sz w:val="24"/>
          <w:szCs w:val="24"/>
        </w:rPr>
        <w:t xml:space="preserve">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w:t>
      </w:r>
    </w:p>
    <w:p w14:paraId="7A34547C" w14:textId="65D8E8A7" w:rsidR="00187B29" w:rsidRPr="00187B29" w:rsidRDefault="00187B29" w:rsidP="004C492D">
      <w:pPr>
        <w:tabs>
          <w:tab w:val="left" w:pos="1493"/>
        </w:tabs>
      </w:pPr>
    </w:p>
    <w:sectPr w:rsidR="00187B29" w:rsidRPr="00187B29" w:rsidSect="00256833">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D0A2B" w14:textId="77777777" w:rsidR="00085EA5" w:rsidRDefault="00085EA5" w:rsidP="00B51CDF">
      <w:pPr>
        <w:spacing w:after="0" w:line="240" w:lineRule="auto"/>
      </w:pPr>
      <w:r>
        <w:separator/>
      </w:r>
    </w:p>
  </w:endnote>
  <w:endnote w:type="continuationSeparator" w:id="0">
    <w:p w14:paraId="21CF2765" w14:textId="77777777" w:rsidR="00085EA5" w:rsidRDefault="00085EA5"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085EA5">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1A658" w14:textId="77777777" w:rsidR="00085EA5" w:rsidRDefault="00085EA5" w:rsidP="00B51CDF">
      <w:pPr>
        <w:spacing w:after="0" w:line="240" w:lineRule="auto"/>
      </w:pPr>
      <w:r>
        <w:separator/>
      </w:r>
    </w:p>
  </w:footnote>
  <w:footnote w:type="continuationSeparator" w:id="0">
    <w:p w14:paraId="33AE5AFF" w14:textId="77777777" w:rsidR="00085EA5" w:rsidRDefault="00085EA5"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0612"/>
    <w:rsid w:val="000274BA"/>
    <w:rsid w:val="00085EA5"/>
    <w:rsid w:val="000C1319"/>
    <w:rsid w:val="000C2C87"/>
    <w:rsid w:val="00121B00"/>
    <w:rsid w:val="00171878"/>
    <w:rsid w:val="00187B29"/>
    <w:rsid w:val="001A2972"/>
    <w:rsid w:val="001D2A04"/>
    <w:rsid w:val="001D4BAD"/>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836BD"/>
    <w:rsid w:val="003B417D"/>
    <w:rsid w:val="003D42FD"/>
    <w:rsid w:val="003D70BC"/>
    <w:rsid w:val="003E0F1D"/>
    <w:rsid w:val="00405CC0"/>
    <w:rsid w:val="004537DD"/>
    <w:rsid w:val="004B33F7"/>
    <w:rsid w:val="004C492D"/>
    <w:rsid w:val="004C5D54"/>
    <w:rsid w:val="00507D27"/>
    <w:rsid w:val="00510301"/>
    <w:rsid w:val="0052041A"/>
    <w:rsid w:val="00527815"/>
    <w:rsid w:val="0056384A"/>
    <w:rsid w:val="00581834"/>
    <w:rsid w:val="00591E1C"/>
    <w:rsid w:val="005B1C5F"/>
    <w:rsid w:val="005B4FC1"/>
    <w:rsid w:val="005E6F08"/>
    <w:rsid w:val="006229C5"/>
    <w:rsid w:val="0063702F"/>
    <w:rsid w:val="006802C3"/>
    <w:rsid w:val="006C4FDD"/>
    <w:rsid w:val="006E780F"/>
    <w:rsid w:val="007039B5"/>
    <w:rsid w:val="00716578"/>
    <w:rsid w:val="00720B15"/>
    <w:rsid w:val="0074566A"/>
    <w:rsid w:val="007556D3"/>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AF698A"/>
    <w:rsid w:val="00B059B8"/>
    <w:rsid w:val="00B51CDF"/>
    <w:rsid w:val="00BC4591"/>
    <w:rsid w:val="00BE61E6"/>
    <w:rsid w:val="00C30274"/>
    <w:rsid w:val="00C66813"/>
    <w:rsid w:val="00C66847"/>
    <w:rsid w:val="00C67DBC"/>
    <w:rsid w:val="00C75EB2"/>
    <w:rsid w:val="00C84B10"/>
    <w:rsid w:val="00C8779D"/>
    <w:rsid w:val="00C87FF9"/>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9</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36</cp:revision>
  <cp:lastPrinted>2020-11-20T05:23:00Z</cp:lastPrinted>
  <dcterms:created xsi:type="dcterms:W3CDTF">2020-11-12T15:25:00Z</dcterms:created>
  <dcterms:modified xsi:type="dcterms:W3CDTF">2021-02-16T13:34:00Z</dcterms:modified>
</cp:coreProperties>
</file>