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45A06" w14:textId="77777777" w:rsidR="005101B8" w:rsidRDefault="005101B8" w:rsidP="005101B8">
      <w:pPr>
        <w:pStyle w:val="Heading2"/>
        <w:pBdr>
          <w:bottom w:val="none" w:sz="0" w:space="0" w:color="auto"/>
        </w:pBdr>
        <w:spacing w:before="0" w:after="160" w:line="259" w:lineRule="auto"/>
        <w:rPr>
          <w:rFonts w:asciiTheme="majorBidi" w:eastAsiaTheme="minorHAnsi" w:hAnsiTheme="majorBidi"/>
          <w:b/>
          <w:bCs/>
          <w:caps w:val="0"/>
          <w:color w:val="auto"/>
          <w:spacing w:val="0"/>
          <w:sz w:val="44"/>
          <w:szCs w:val="44"/>
          <w:lang w:val="en-US" w:eastAsia="en-US"/>
        </w:rPr>
      </w:pPr>
      <w:r w:rsidRPr="002C381E">
        <w:rPr>
          <w:rFonts w:asciiTheme="majorBidi" w:eastAsiaTheme="minorHAnsi" w:hAnsiTheme="majorBidi"/>
          <w:b/>
          <w:bCs/>
          <w:caps w:val="0"/>
          <w:color w:val="auto"/>
          <w:spacing w:val="0"/>
          <w:sz w:val="44"/>
          <w:szCs w:val="44"/>
          <w:lang w:val="en-US" w:eastAsia="en-US"/>
        </w:rPr>
        <w:t xml:space="preserve">Section XV – Price Schedules </w:t>
      </w:r>
    </w:p>
    <w:p w14:paraId="106E746B" w14:textId="77777777" w:rsidR="005101B8" w:rsidRDefault="005101B8" w:rsidP="005101B8">
      <w:pPr>
        <w:pStyle w:val="Heading3"/>
        <w:keepNext w:val="0"/>
        <w:keepLines w:val="0"/>
        <w:suppressAutoHyphens w:val="0"/>
        <w:spacing w:before="0" w:after="160" w:line="259" w:lineRule="auto"/>
        <w:rPr>
          <w:rFonts w:asciiTheme="majorBidi" w:eastAsiaTheme="minorHAnsi" w:hAnsiTheme="majorBidi" w:cstheme="minorBidi"/>
          <w:b/>
          <w:color w:val="auto"/>
          <w:sz w:val="28"/>
          <w:szCs w:val="20"/>
          <w:lang w:eastAsia="en-US"/>
        </w:rPr>
      </w:pPr>
      <w:r w:rsidRPr="002C381E">
        <w:rPr>
          <w:rFonts w:asciiTheme="majorBidi" w:eastAsiaTheme="minorHAnsi" w:hAnsiTheme="majorBidi" w:cstheme="minorBidi"/>
          <w:b/>
          <w:color w:val="auto"/>
          <w:sz w:val="28"/>
          <w:szCs w:val="20"/>
          <w:lang w:eastAsia="en-US"/>
        </w:rPr>
        <w:t xml:space="preserve">Part 1 – Preambles to Price Schedules  </w:t>
      </w:r>
    </w:p>
    <w:p w14:paraId="7874F759" w14:textId="77777777" w:rsidR="005101B8" w:rsidRDefault="005101B8" w:rsidP="005101B8">
      <w:pPr>
        <w:rPr>
          <w:rFonts w:eastAsiaTheme="minorHAnsi"/>
          <w:lang w:eastAsia="en-US"/>
        </w:rPr>
      </w:pPr>
    </w:p>
    <w:p w14:paraId="3A42004D" w14:textId="77777777" w:rsidR="005101B8" w:rsidRPr="00F60334" w:rsidRDefault="005101B8" w:rsidP="005101B8">
      <w:pPr>
        <w:rPr>
          <w:rFonts w:eastAsiaTheme="minorHAnsi"/>
          <w:b/>
          <w:bCs/>
          <w:sz w:val="28"/>
          <w:szCs w:val="28"/>
          <w:lang w:eastAsia="en-US"/>
        </w:rPr>
      </w:pPr>
      <w:r w:rsidRPr="00F60334">
        <w:rPr>
          <w:rFonts w:eastAsiaTheme="minorHAnsi"/>
          <w:b/>
          <w:bCs/>
          <w:sz w:val="28"/>
          <w:szCs w:val="28"/>
          <w:lang w:eastAsia="en-US"/>
        </w:rPr>
        <w:t xml:space="preserve">General </w:t>
      </w:r>
    </w:p>
    <w:p w14:paraId="11126444" w14:textId="77777777" w:rsidR="005101B8" w:rsidRPr="00CF15C3" w:rsidRDefault="005101B8" w:rsidP="005101B8">
      <w:pPr>
        <w:pStyle w:val="ListParagraph"/>
        <w:numPr>
          <w:ilvl w:val="0"/>
          <w:numId w:val="3"/>
        </w:numPr>
        <w:tabs>
          <w:tab w:val="left" w:pos="360"/>
        </w:tabs>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 xml:space="preserve">The Schedules shall be read in conjunction with the entire Bidding Document consisting Instructions to Bidders, General Conditions of Contract, Particular Conditions of Contract, Employer’s Requirement including Design Requirements, Technical Specifications for General Works, Sewerage System Works, Water Supply System Works. </w:t>
      </w:r>
    </w:p>
    <w:p w14:paraId="099D3376"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 xml:space="preserve">The Price Schedules are divided into separate Schedules as follows: </w:t>
      </w:r>
    </w:p>
    <w:p w14:paraId="6ECBF687" w14:textId="77777777" w:rsidR="005101B8" w:rsidRPr="00CF15C3" w:rsidRDefault="005101B8" w:rsidP="005101B8">
      <w:pPr>
        <w:pStyle w:val="ListParagraph"/>
        <w:numPr>
          <w:ilvl w:val="2"/>
          <w:numId w:val="4"/>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Schedule No. 1: Design Services</w:t>
      </w:r>
    </w:p>
    <w:p w14:paraId="21BD8FE2" w14:textId="77777777" w:rsidR="005101B8" w:rsidRPr="00CF15C3" w:rsidRDefault="005101B8" w:rsidP="005101B8">
      <w:pPr>
        <w:pStyle w:val="ListParagraph"/>
        <w:numPr>
          <w:ilvl w:val="2"/>
          <w:numId w:val="4"/>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Schedule No. 2: General Works </w:t>
      </w:r>
    </w:p>
    <w:p w14:paraId="004587E1" w14:textId="77777777" w:rsidR="005101B8" w:rsidRPr="00CF15C3" w:rsidRDefault="005101B8" w:rsidP="005101B8">
      <w:pPr>
        <w:pStyle w:val="ListParagraph"/>
        <w:numPr>
          <w:ilvl w:val="2"/>
          <w:numId w:val="4"/>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Schedule No. 3: Water Supply System Works </w:t>
      </w:r>
    </w:p>
    <w:p w14:paraId="067A6DC0" w14:textId="77777777" w:rsidR="005101B8" w:rsidRPr="00CF15C3" w:rsidRDefault="005101B8" w:rsidP="005101B8">
      <w:pPr>
        <w:pStyle w:val="ListParagraph"/>
        <w:numPr>
          <w:ilvl w:val="2"/>
          <w:numId w:val="4"/>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Schedule No. 4: Gravity Sewerage System Works </w:t>
      </w:r>
    </w:p>
    <w:p w14:paraId="21D11C45" w14:textId="77777777" w:rsidR="005101B8" w:rsidRPr="00CF15C3" w:rsidRDefault="005101B8" w:rsidP="005101B8">
      <w:pPr>
        <w:pStyle w:val="ListParagraph"/>
        <w:numPr>
          <w:ilvl w:val="2"/>
          <w:numId w:val="4"/>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Schedule No. 5: Summary</w:t>
      </w:r>
    </w:p>
    <w:p w14:paraId="6E3649C8" w14:textId="77777777" w:rsidR="005101B8"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The Schedule includes Lump Sum &amp; Provisional Items. The Lump Sum price quoted will be deemed to be full compensation for completion of work items and paid in full when the work is completed.</w:t>
      </w:r>
    </w:p>
    <w:p w14:paraId="33B978F4"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Provisional Sum so designated shall be expended in whole or in part or not at all as necessary, at the direction and discretion of the Employer/ Engineer in accordance with the General Conditions of Contract. In the event any Provisional Sum is utilized, the Contractor’s Service Charge indicated against that Provisional Sum shall deemed to include all Contractor’s mark-ups; inclusive of Site Overheads, principal and branch office overheads, profit and all other related burden costs.</w:t>
      </w:r>
    </w:p>
    <w:p w14:paraId="6D61EB19" w14:textId="77777777" w:rsidR="005101B8" w:rsidRPr="00F60334"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u w:val="single"/>
        </w:rPr>
      </w:pPr>
      <w:r w:rsidRPr="00CF15C3">
        <w:rPr>
          <w:rFonts w:ascii="Times New Roman" w:hAnsi="Times New Roman" w:cs="Times New Roman"/>
          <w:sz w:val="24"/>
          <w:szCs w:val="24"/>
          <w:u w:val="single"/>
        </w:rPr>
        <w:t>Item</w:t>
      </w:r>
      <w:r>
        <w:rPr>
          <w:rFonts w:ascii="Times New Roman" w:hAnsi="Times New Roman" w:cs="Times New Roman"/>
          <w:sz w:val="24"/>
          <w:szCs w:val="24"/>
          <w:u w:val="single"/>
        </w:rPr>
        <w:t xml:space="preserve">s </w:t>
      </w:r>
      <w:r w:rsidRPr="00CF15C3">
        <w:rPr>
          <w:rFonts w:ascii="Times New Roman" w:hAnsi="Times New Roman" w:cs="Times New Roman"/>
          <w:sz w:val="24"/>
          <w:szCs w:val="24"/>
          <w:u w:val="single"/>
        </w:rPr>
        <w:t xml:space="preserve">with quantities and units </w:t>
      </w:r>
      <w:r>
        <w:rPr>
          <w:rFonts w:ascii="Times New Roman" w:hAnsi="Times New Roman" w:cs="Times New Roman"/>
          <w:sz w:val="24"/>
          <w:szCs w:val="24"/>
          <w:u w:val="single"/>
        </w:rPr>
        <w:t xml:space="preserve">will be measured; payment will be made against </w:t>
      </w:r>
      <w:r w:rsidRPr="00CF15C3">
        <w:rPr>
          <w:rFonts w:ascii="Times New Roman" w:hAnsi="Times New Roman" w:cs="Times New Roman"/>
          <w:sz w:val="24"/>
          <w:szCs w:val="24"/>
          <w:u w:val="single"/>
        </w:rPr>
        <w:t>number of units used and/or incorporated in the works.</w:t>
      </w:r>
    </w:p>
    <w:p w14:paraId="608522B4" w14:textId="4ED42AF6"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pacing w:val="-2"/>
          <w:sz w:val="24"/>
          <w:szCs w:val="24"/>
        </w:rPr>
        <w:t>The rates shall include cost of all materials, construction equipment’s, transportation</w:t>
      </w:r>
      <w:r w:rsidRPr="00CF15C3">
        <w:rPr>
          <w:rFonts w:ascii="Times New Roman" w:hAnsi="Times New Roman" w:cs="Times New Roman"/>
          <w:sz w:val="24"/>
          <w:szCs w:val="24"/>
        </w:rPr>
        <w:t xml:space="preserve">, carriage of material </w:t>
      </w:r>
      <w:r w:rsidR="00715787" w:rsidRPr="00CF15C3">
        <w:rPr>
          <w:rFonts w:ascii="Times New Roman" w:hAnsi="Times New Roman" w:cs="Times New Roman"/>
          <w:sz w:val="24"/>
          <w:szCs w:val="24"/>
        </w:rPr>
        <w:t>up to</w:t>
      </w:r>
      <w:r w:rsidRPr="00CF15C3">
        <w:rPr>
          <w:rFonts w:ascii="Times New Roman" w:hAnsi="Times New Roman" w:cs="Times New Roman"/>
          <w:sz w:val="24"/>
          <w:szCs w:val="24"/>
        </w:rPr>
        <w:t xml:space="preserve"> works sites, </w:t>
      </w:r>
      <w:proofErr w:type="spellStart"/>
      <w:r w:rsidRPr="00CF15C3">
        <w:rPr>
          <w:rFonts w:ascii="Times New Roman" w:hAnsi="Times New Roman" w:cs="Times New Roman"/>
          <w:sz w:val="24"/>
          <w:szCs w:val="24"/>
        </w:rPr>
        <w:t>labour</w:t>
      </w:r>
      <w:proofErr w:type="spellEnd"/>
      <w:r w:rsidRPr="00CF15C3">
        <w:rPr>
          <w:rFonts w:ascii="Times New Roman" w:hAnsi="Times New Roman" w:cs="Times New Roman"/>
          <w:sz w:val="24"/>
          <w:szCs w:val="24"/>
        </w:rPr>
        <w:t>, supervision, surveying, setting out, erection, maintenance, all lead and lift, insurance, facilities, tools and tackles, safety gadgets, incidentals, overhead and profit and General Service Tax (GST) together with all general risks, liabilities, and obligations etc. set out or implied in the Contract.</w:t>
      </w:r>
    </w:p>
    <w:p w14:paraId="6E9140B5"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The whole cost of complying with the provisions of the Contract shall be included in the items provided in the priced Schedule, and where no items are provided, the cost shall be deemed to be distributed among the rates and prices entered for the related items of work.</w:t>
      </w:r>
    </w:p>
    <w:p w14:paraId="556C607B"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lastRenderedPageBreak/>
        <w:t>For the evaluation process, if requested by the Employer, the Contractor shall provide an analysis for derivation of the rate entered.</w:t>
      </w:r>
    </w:p>
    <w:p w14:paraId="39BE2AEC" w14:textId="77777777" w:rsidR="005101B8" w:rsidRPr="00CF15C3" w:rsidRDefault="005101B8" w:rsidP="005101B8">
      <w:pPr>
        <w:pStyle w:val="ListParagraph"/>
        <w:numPr>
          <w:ilvl w:val="0"/>
          <w:numId w:val="3"/>
        </w:numPr>
        <w:spacing w:before="120" w:after="120" w:line="360" w:lineRule="auto"/>
        <w:ind w:left="360"/>
        <w:contextualSpacing w:val="0"/>
        <w:jc w:val="both"/>
        <w:rPr>
          <w:rFonts w:ascii="Times New Roman" w:hAnsi="Times New Roman" w:cs="Times New Roman"/>
          <w:sz w:val="24"/>
          <w:szCs w:val="24"/>
        </w:rPr>
      </w:pPr>
      <w:r w:rsidRPr="00CF15C3">
        <w:rPr>
          <w:rFonts w:ascii="Times New Roman" w:hAnsi="Times New Roman" w:cs="Times New Roman"/>
          <w:sz w:val="24"/>
          <w:szCs w:val="24"/>
        </w:rPr>
        <w:t>All items shall be priced individually as specified in the schedule. A Lump Sum combining more than one item shall not be given. The cost of items in the Schedules, against which no rate or price is entered, will be considered as covered by the other rates and prices entered in the Schedules.</w:t>
      </w:r>
    </w:p>
    <w:p w14:paraId="4F816A36"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 xml:space="preserve">The Schedules do not generally give a full description of the plant to be supplied and the services to be performed under each item. Bidders shall be deemed to have read the Employer’s Requirements and other sections of the Bidding Document and reviewed the typical drawings to ascertain the full scope of the requirements included in each item prior to filling in the rates and prices. The entered rates and prices shall be deemed to cover the full scope as aforesaid, including taxes (GST), overheads and profit. </w:t>
      </w:r>
    </w:p>
    <w:p w14:paraId="32D48896" w14:textId="77777777" w:rsidR="005101B8" w:rsidRPr="00F60334"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1E88BCB5" w14:textId="77777777" w:rsidR="005101B8" w:rsidRPr="00CF15C3" w:rsidRDefault="005101B8" w:rsidP="005101B8">
      <w:pPr>
        <w:spacing w:before="120" w:after="120" w:line="360" w:lineRule="auto"/>
        <w:jc w:val="both"/>
        <w:rPr>
          <w:rFonts w:ascii="Times New Roman" w:hAnsi="Times New Roman" w:cs="Times New Roman"/>
          <w:sz w:val="28"/>
          <w:szCs w:val="28"/>
        </w:rPr>
      </w:pPr>
      <w:r w:rsidRPr="00CF15C3">
        <w:rPr>
          <w:rFonts w:ascii="Times New Roman" w:hAnsi="Times New Roman" w:cs="Times New Roman"/>
          <w:b/>
          <w:sz w:val="28"/>
          <w:szCs w:val="28"/>
        </w:rPr>
        <w:t>Extent of Works:</w:t>
      </w:r>
    </w:p>
    <w:p w14:paraId="7EBC39E7" w14:textId="77777777" w:rsidR="005101B8" w:rsidRPr="00CF15C3" w:rsidRDefault="005101B8" w:rsidP="005101B8">
      <w:pPr>
        <w:pStyle w:val="ListParagraph"/>
        <w:numPr>
          <w:ilvl w:val="0"/>
          <w:numId w:val="3"/>
        </w:numPr>
        <w:spacing w:before="240" w:after="120" w:line="360" w:lineRule="auto"/>
        <w:ind w:left="360"/>
        <w:rPr>
          <w:rFonts w:ascii="Times New Roman" w:hAnsi="Times New Roman" w:cs="Times New Roman"/>
          <w:bCs/>
          <w:sz w:val="24"/>
          <w:szCs w:val="24"/>
        </w:rPr>
      </w:pPr>
      <w:r w:rsidRPr="00CF15C3">
        <w:rPr>
          <w:rFonts w:ascii="Times New Roman" w:hAnsi="Times New Roman" w:cs="Times New Roman"/>
          <w:bCs/>
          <w:sz w:val="24"/>
          <w:szCs w:val="24"/>
        </w:rPr>
        <w:t>The Bidder shall be deemed to be fully conversant with the site conditions and the nature and complexity of the work to be undertaken and taking into account all eventualities which can arise before, during and after project execution</w:t>
      </w:r>
      <w:r>
        <w:rPr>
          <w:rFonts w:ascii="Times New Roman" w:hAnsi="Times New Roman" w:cs="Times New Roman"/>
          <w:bCs/>
          <w:sz w:val="24"/>
          <w:szCs w:val="24"/>
        </w:rPr>
        <w:t xml:space="preserve">. </w:t>
      </w:r>
    </w:p>
    <w:p w14:paraId="16063E11" w14:textId="77777777" w:rsidR="005101B8" w:rsidRPr="00CF15C3" w:rsidRDefault="005101B8" w:rsidP="005101B8">
      <w:pPr>
        <w:pStyle w:val="ListParagraph"/>
        <w:numPr>
          <w:ilvl w:val="0"/>
          <w:numId w:val="3"/>
        </w:numPr>
        <w:tabs>
          <w:tab w:val="left" w:pos="1080"/>
        </w:tabs>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 xml:space="preserve">The bidder shall be deemed to have taken full account of all requirements and obligations whether expressed or implied, covered by all parts of </w:t>
      </w:r>
      <w:r>
        <w:rPr>
          <w:rFonts w:ascii="Times New Roman" w:hAnsi="Times New Roman" w:cs="Times New Roman"/>
          <w:sz w:val="24"/>
          <w:szCs w:val="24"/>
        </w:rPr>
        <w:t>bid document</w:t>
      </w:r>
      <w:r w:rsidRPr="00CF15C3">
        <w:rPr>
          <w:rFonts w:ascii="Times New Roman" w:hAnsi="Times New Roman" w:cs="Times New Roman"/>
          <w:sz w:val="24"/>
          <w:szCs w:val="24"/>
        </w:rPr>
        <w:t xml:space="preserve"> and to have priced the items herein accordingly. The rates and sum shall therefore be included for all incidental and contingent expenses and risks of every kind necessary to construct, complete the whole of works in accordance with the Contract.  Full allowance shall be made in the rates and/or specified herein; </w:t>
      </w:r>
    </w:p>
    <w:p w14:paraId="0887E26D"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600637AD"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Recruitment, bringing to and repatriate from the site, accommodating and feeding and all other incidental costs and expenses involved in the provision of all necessary skilled and unskilled labor and supervision staffs. </w:t>
      </w:r>
    </w:p>
    <w:p w14:paraId="6992DE02" w14:textId="77777777" w:rsidR="005101B8" w:rsidRPr="00CF15C3" w:rsidRDefault="005101B8" w:rsidP="005101B8">
      <w:pPr>
        <w:pStyle w:val="ListParagraph"/>
        <w:numPr>
          <w:ilvl w:val="0"/>
          <w:numId w:val="2"/>
        </w:numPr>
        <w:spacing w:line="360" w:lineRule="auto"/>
        <w:rPr>
          <w:rFonts w:ascii="Times New Roman" w:hAnsi="Times New Roman" w:cs="Times New Roman"/>
          <w:sz w:val="24"/>
          <w:szCs w:val="24"/>
        </w:rPr>
      </w:pPr>
      <w:r w:rsidRPr="00CF15C3">
        <w:rPr>
          <w:rFonts w:ascii="Times New Roman" w:hAnsi="Times New Roman" w:cs="Times New Roman"/>
          <w:sz w:val="24"/>
          <w:szCs w:val="24"/>
        </w:rPr>
        <w:lastRenderedPageBreak/>
        <w:t>Establish and Maintenance of a portable office at each site with adequate space for their personnel, inclusive of necessary furniture &amp; furnishing, computers with printers and scanners, consumables, utilities etc., etc. The above space and facilities shall jointly be used and shared by the Engineer/Engineer’s representative or Project Management Consultants personnel appointed by the Employer for the works</w:t>
      </w:r>
      <w:r>
        <w:rPr>
          <w:rFonts w:ascii="Times New Roman" w:hAnsi="Times New Roman" w:cs="Times New Roman"/>
          <w:sz w:val="24"/>
          <w:szCs w:val="24"/>
        </w:rPr>
        <w:t xml:space="preserve">. </w:t>
      </w:r>
    </w:p>
    <w:p w14:paraId="425BDDB9" w14:textId="77777777" w:rsidR="005101B8" w:rsidRPr="00EE1074" w:rsidRDefault="005101B8" w:rsidP="005101B8">
      <w:pPr>
        <w:pStyle w:val="ListParagraph"/>
        <w:numPr>
          <w:ilvl w:val="0"/>
          <w:numId w:val="2"/>
        </w:numPr>
        <w:tabs>
          <w:tab w:val="left" w:pos="1440"/>
        </w:tabs>
        <w:spacing w:line="360" w:lineRule="auto"/>
        <w:rPr>
          <w:rFonts w:ascii="Times New Roman" w:hAnsi="Times New Roman" w:cs="Times New Roman"/>
          <w:sz w:val="24"/>
          <w:szCs w:val="24"/>
        </w:rPr>
      </w:pPr>
      <w:r w:rsidRPr="00EE1074">
        <w:rPr>
          <w:rFonts w:ascii="Times New Roman" w:hAnsi="Times New Roman" w:cs="Times New Roman"/>
          <w:sz w:val="24"/>
          <w:szCs w:val="24"/>
        </w:rPr>
        <w:t xml:space="preserve">Securing any statutory permits or approval required prior to construction, including dewatering permit from Environmental Protection Agency </w:t>
      </w:r>
    </w:p>
    <w:p w14:paraId="5955EABB" w14:textId="77777777" w:rsidR="005101B8" w:rsidRPr="00F60334" w:rsidRDefault="005101B8" w:rsidP="005101B8">
      <w:pPr>
        <w:pStyle w:val="ListParagraph"/>
        <w:numPr>
          <w:ilvl w:val="0"/>
          <w:numId w:val="2"/>
        </w:numPr>
        <w:suppressAutoHyphens w:val="0"/>
        <w:rPr>
          <w:rFonts w:ascii="Times New Roman" w:hAnsi="Times New Roman" w:cs="Times New Roman"/>
          <w:sz w:val="24"/>
          <w:szCs w:val="24"/>
          <w:lang w:eastAsia="en-US"/>
        </w:rPr>
      </w:pPr>
      <w:r w:rsidRPr="00F60334">
        <w:rPr>
          <w:rFonts w:ascii="Times New Roman" w:hAnsi="Times New Roman" w:cs="Times New Roman"/>
          <w:sz w:val="24"/>
          <w:szCs w:val="24"/>
          <w:lang w:eastAsia="en-US"/>
        </w:rPr>
        <w:t xml:space="preserve">Arrange during dewatering of trenches, for pumping ground water of salinity greater than 2500 </w:t>
      </w:r>
      <w:proofErr w:type="spellStart"/>
      <w:r w:rsidRPr="00F60334">
        <w:rPr>
          <w:rFonts w:ascii="Times New Roman" w:hAnsi="Times New Roman" w:cs="Times New Roman"/>
          <w:sz w:val="24"/>
          <w:szCs w:val="24"/>
          <w:lang w:eastAsia="en-US"/>
        </w:rPr>
        <w:t>microsiemens</w:t>
      </w:r>
      <w:proofErr w:type="spellEnd"/>
      <w:r w:rsidRPr="00F60334">
        <w:rPr>
          <w:rFonts w:ascii="Times New Roman" w:hAnsi="Times New Roman" w:cs="Times New Roman"/>
          <w:sz w:val="24"/>
          <w:szCs w:val="24"/>
          <w:lang w:eastAsia="en-US"/>
        </w:rPr>
        <w:t xml:space="preserve"> to be pumped out to sea.</w:t>
      </w:r>
    </w:p>
    <w:p w14:paraId="501AF0AF" w14:textId="77777777" w:rsidR="005101B8" w:rsidRPr="00EE1074" w:rsidRDefault="005101B8" w:rsidP="005101B8">
      <w:pPr>
        <w:pStyle w:val="ListParagraph"/>
        <w:numPr>
          <w:ilvl w:val="0"/>
          <w:numId w:val="2"/>
        </w:numPr>
        <w:tabs>
          <w:tab w:val="left" w:pos="1440"/>
        </w:tabs>
        <w:spacing w:line="360" w:lineRule="auto"/>
        <w:rPr>
          <w:rFonts w:ascii="Times New Roman" w:hAnsi="Times New Roman" w:cs="Times New Roman"/>
          <w:sz w:val="24"/>
          <w:szCs w:val="24"/>
        </w:rPr>
      </w:pPr>
      <w:r w:rsidRPr="00EE1074">
        <w:rPr>
          <w:rFonts w:ascii="Times New Roman" w:hAnsi="Times New Roman" w:cs="Times New Roman"/>
          <w:sz w:val="24"/>
          <w:szCs w:val="24"/>
        </w:rPr>
        <w:t>Mobilize to site and maintain water bowsers to meet the drinking water needs of the households affected by dewatering of trenches.</w:t>
      </w:r>
    </w:p>
    <w:p w14:paraId="349040DE"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General works such as setting out, In-Surveys, clearance of site before setting out and clearance of works after completion.</w:t>
      </w:r>
    </w:p>
    <w:p w14:paraId="1D154F94" w14:textId="77777777" w:rsidR="005101B8"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Detailed </w:t>
      </w:r>
      <w:proofErr w:type="spellStart"/>
      <w:r w:rsidRPr="00CF15C3">
        <w:rPr>
          <w:rFonts w:ascii="Times New Roman" w:hAnsi="Times New Roman" w:cs="Times New Roman"/>
          <w:sz w:val="24"/>
          <w:szCs w:val="24"/>
        </w:rPr>
        <w:t>programme</w:t>
      </w:r>
      <w:proofErr w:type="spellEnd"/>
      <w:r w:rsidRPr="00CF15C3">
        <w:rPr>
          <w:rFonts w:ascii="Times New Roman" w:hAnsi="Times New Roman" w:cs="Times New Roman"/>
          <w:sz w:val="24"/>
          <w:szCs w:val="24"/>
        </w:rPr>
        <w:t>/schedule for the construction and completion of the work.</w:t>
      </w:r>
    </w:p>
    <w:p w14:paraId="559AACD1"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F60334">
        <w:rPr>
          <w:rFonts w:ascii="Times New Roman" w:hAnsi="Times New Roman" w:cs="Times New Roman"/>
          <w:sz w:val="24"/>
          <w:szCs w:val="24"/>
        </w:rPr>
        <w:t xml:space="preserve">Provision and Erection of Notice Boards 3m x 4m size as per drawing and specification, </w:t>
      </w:r>
    </w:p>
    <w:p w14:paraId="29E4B5C7"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Samples of various materials proposed to be used on the work for conducting tests thereon as required as per the provisions of the Contract and approved Quality Assurance Procedures (QAP).</w:t>
      </w:r>
    </w:p>
    <w:p w14:paraId="461E63B1"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Testing of various finished items and materials including cement, concrete, </w:t>
      </w:r>
      <w:r w:rsidRPr="00CF15C3">
        <w:rPr>
          <w:rFonts w:ascii="Times New Roman" w:hAnsi="Times New Roman" w:cs="Times New Roman"/>
          <w:spacing w:val="-4"/>
          <w:sz w:val="24"/>
          <w:szCs w:val="24"/>
        </w:rPr>
        <w:t>etc. as required under specifications and furnishing test reports/ certificates</w:t>
      </w:r>
      <w:r w:rsidRPr="00CF15C3">
        <w:rPr>
          <w:rFonts w:ascii="Times New Roman" w:hAnsi="Times New Roman" w:cs="Times New Roman"/>
          <w:sz w:val="24"/>
          <w:szCs w:val="24"/>
        </w:rPr>
        <w:t xml:space="preserve"> as per approved Quality Assurance Procedure (QAP).</w:t>
      </w:r>
    </w:p>
    <w:p w14:paraId="16E35352"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All temporary works, formwork and false work.</w:t>
      </w:r>
    </w:p>
    <w:p w14:paraId="2A003859"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Cost of in-built provisions for Quality Assurance.</w:t>
      </w:r>
    </w:p>
    <w:p w14:paraId="657E73B7"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Cost of providing ‘As-built drawings’ in soft copy and hard copy in required numbers and preparation of O&amp;M manual for any equipment furnished.</w:t>
      </w:r>
    </w:p>
    <w:p w14:paraId="3F2A14F6" w14:textId="77777777" w:rsidR="005101B8" w:rsidRPr="00CF15C3" w:rsidRDefault="005101B8" w:rsidP="005101B8">
      <w:pPr>
        <w:pStyle w:val="ListParagraph"/>
        <w:numPr>
          <w:ilvl w:val="0"/>
          <w:numId w:val="2"/>
        </w:numPr>
        <w:spacing w:before="120" w:after="120"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All costs related to implementation of occupational Health and safety, public </w:t>
      </w:r>
      <w:r w:rsidRPr="00CF15C3">
        <w:rPr>
          <w:rFonts w:ascii="Times New Roman" w:hAnsi="Times New Roman" w:cs="Times New Roman"/>
          <w:spacing w:val="-4"/>
          <w:sz w:val="24"/>
          <w:szCs w:val="24"/>
        </w:rPr>
        <w:t>safety, and Environmental Management Plan (EMP) implementation, as outlined</w:t>
      </w:r>
      <w:r w:rsidRPr="00CF15C3">
        <w:rPr>
          <w:rFonts w:ascii="Times New Roman" w:hAnsi="Times New Roman" w:cs="Times New Roman"/>
          <w:sz w:val="24"/>
          <w:szCs w:val="24"/>
        </w:rPr>
        <w:t xml:space="preserve"> in the EPA guidelines or other relevant sections of the bidding documents will be borne by the contractor.</w:t>
      </w:r>
    </w:p>
    <w:p w14:paraId="4C730745"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Safety precautions and all measures to prevent and suppress fire and other hazards during execution of works</w:t>
      </w:r>
    </w:p>
    <w:p w14:paraId="73EABD1A"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Interference to the works by persons, vehicles, vessels and the like using the existing land and water facilities</w:t>
      </w:r>
    </w:p>
    <w:p w14:paraId="0F6582E3"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Works in connection with the protection and safety of adjacent structures</w:t>
      </w:r>
    </w:p>
    <w:p w14:paraId="445AFC6E"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lastRenderedPageBreak/>
        <w:t>Supporting faces of excavation temporary or permanent shoring, shuttering and scaffolding etc.</w:t>
      </w:r>
    </w:p>
    <w:p w14:paraId="7192EA1D"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Cost of preparation of working drawings/ Shop drawings and related data for materials, pipe work and equipment </w:t>
      </w:r>
    </w:p>
    <w:p w14:paraId="2C2C58CA" w14:textId="77777777" w:rsidR="005101B8" w:rsidRPr="00CF15C3" w:rsidRDefault="005101B8" w:rsidP="005101B8">
      <w:pPr>
        <w:pStyle w:val="ListParagraph"/>
        <w:numPr>
          <w:ilvl w:val="0"/>
          <w:numId w:val="2"/>
        </w:numPr>
        <w:suppressAutoHyphens w:val="0"/>
        <w:spacing w:line="360" w:lineRule="auto"/>
        <w:jc w:val="both"/>
        <w:rPr>
          <w:rFonts w:ascii="Times New Roman" w:hAnsi="Times New Roman" w:cs="Times New Roman"/>
          <w:sz w:val="24"/>
          <w:szCs w:val="24"/>
        </w:rPr>
      </w:pPr>
      <w:r w:rsidRPr="00CF15C3">
        <w:rPr>
          <w:rFonts w:ascii="Times New Roman" w:hAnsi="Times New Roman" w:cs="Times New Roman"/>
          <w:sz w:val="24"/>
          <w:szCs w:val="24"/>
        </w:rPr>
        <w:t xml:space="preserve">All ancillary parts, minor fittings, bolts, nuts, gaskets, washers, fixing, etc., joining materials, protective coatings and </w:t>
      </w:r>
      <w:proofErr w:type="spellStart"/>
      <w:r w:rsidRPr="00CF15C3">
        <w:rPr>
          <w:rFonts w:ascii="Times New Roman" w:hAnsi="Times New Roman" w:cs="Times New Roman"/>
          <w:sz w:val="24"/>
          <w:szCs w:val="24"/>
        </w:rPr>
        <w:t>sleevings</w:t>
      </w:r>
      <w:proofErr w:type="spellEnd"/>
      <w:r w:rsidRPr="00CF15C3">
        <w:rPr>
          <w:rFonts w:ascii="Times New Roman" w:hAnsi="Times New Roman" w:cs="Times New Roman"/>
          <w:sz w:val="24"/>
          <w:szCs w:val="24"/>
        </w:rPr>
        <w:t xml:space="preserve"> and other relevant items not specifically listed but necessary for proper installation of the materials, pipe works and equipment </w:t>
      </w:r>
    </w:p>
    <w:p w14:paraId="3C5719C5" w14:textId="77777777" w:rsidR="005101B8" w:rsidRPr="00CF15C3" w:rsidRDefault="005101B8" w:rsidP="005101B8">
      <w:pPr>
        <w:pStyle w:val="ListParagraph"/>
        <w:numPr>
          <w:ilvl w:val="0"/>
          <w:numId w:val="2"/>
        </w:numPr>
        <w:spacing w:before="120" w:after="120" w:line="360" w:lineRule="auto"/>
        <w:contextualSpacing w:val="0"/>
        <w:jc w:val="both"/>
        <w:rPr>
          <w:rFonts w:ascii="Times New Roman" w:hAnsi="Times New Roman" w:cs="Times New Roman"/>
          <w:sz w:val="24"/>
          <w:szCs w:val="24"/>
        </w:rPr>
      </w:pPr>
      <w:r w:rsidRPr="00CF15C3">
        <w:rPr>
          <w:rFonts w:ascii="Times New Roman" w:hAnsi="Times New Roman" w:cs="Times New Roman"/>
          <w:sz w:val="24"/>
          <w:szCs w:val="24"/>
        </w:rPr>
        <w:t xml:space="preserve">All underground and over-ground utility items shall have to be suitably supported during the construction phase by the Contractor so that the existing utility services are not damaged. </w:t>
      </w:r>
    </w:p>
    <w:p w14:paraId="748472FB" w14:textId="77777777" w:rsidR="005101B8" w:rsidRPr="00CF15C3" w:rsidRDefault="005101B8" w:rsidP="005101B8">
      <w:pPr>
        <w:pStyle w:val="ListParagraph"/>
        <w:numPr>
          <w:ilvl w:val="0"/>
          <w:numId w:val="3"/>
        </w:numPr>
        <w:spacing w:before="120" w:after="120" w:line="360" w:lineRule="auto"/>
        <w:ind w:left="360"/>
        <w:jc w:val="both"/>
        <w:rPr>
          <w:rFonts w:ascii="Times New Roman" w:hAnsi="Times New Roman" w:cs="Times New Roman"/>
          <w:sz w:val="24"/>
          <w:szCs w:val="24"/>
        </w:rPr>
      </w:pPr>
      <w:r w:rsidRPr="00CF15C3">
        <w:rPr>
          <w:rFonts w:ascii="Times New Roman" w:hAnsi="Times New Roman" w:cs="Times New Roman"/>
          <w:sz w:val="24"/>
          <w:szCs w:val="24"/>
        </w:rPr>
        <w:t>The Contractor shall be deemed to have taken into account all of the following in his tender prices and his construction program.</w:t>
      </w:r>
    </w:p>
    <w:p w14:paraId="183BEDEA" w14:textId="77777777" w:rsidR="005101B8" w:rsidRPr="00CF15C3" w:rsidRDefault="005101B8" w:rsidP="005101B8">
      <w:pPr>
        <w:pStyle w:val="ListParagraph"/>
        <w:numPr>
          <w:ilvl w:val="0"/>
          <w:numId w:val="1"/>
        </w:numPr>
        <w:spacing w:before="120" w:after="120" w:line="360" w:lineRule="auto"/>
        <w:ind w:left="1987" w:hanging="547"/>
        <w:jc w:val="both"/>
        <w:rPr>
          <w:rFonts w:ascii="Times New Roman" w:hAnsi="Times New Roman" w:cs="Times New Roman"/>
          <w:sz w:val="24"/>
          <w:szCs w:val="24"/>
        </w:rPr>
      </w:pPr>
      <w:r w:rsidRPr="00CF15C3">
        <w:rPr>
          <w:rFonts w:ascii="Times New Roman" w:hAnsi="Times New Roman" w:cs="Times New Roman"/>
          <w:sz w:val="24"/>
          <w:szCs w:val="24"/>
        </w:rPr>
        <w:t>All recognized holidays, festivals, religious and other customs observed in the country</w:t>
      </w:r>
    </w:p>
    <w:p w14:paraId="4E22DEAF" w14:textId="77777777" w:rsidR="005101B8" w:rsidRPr="00CF15C3" w:rsidRDefault="005101B8" w:rsidP="005101B8">
      <w:pPr>
        <w:pStyle w:val="ListParagraph"/>
        <w:numPr>
          <w:ilvl w:val="0"/>
          <w:numId w:val="1"/>
        </w:numPr>
        <w:spacing w:before="120" w:after="120" w:line="360" w:lineRule="auto"/>
        <w:ind w:left="1987" w:hanging="547"/>
        <w:jc w:val="both"/>
        <w:rPr>
          <w:rFonts w:ascii="Times New Roman" w:hAnsi="Times New Roman" w:cs="Times New Roman"/>
          <w:sz w:val="24"/>
          <w:szCs w:val="24"/>
        </w:rPr>
      </w:pPr>
      <w:r w:rsidRPr="00CF15C3">
        <w:rPr>
          <w:rFonts w:ascii="Times New Roman" w:hAnsi="Times New Roman" w:cs="Times New Roman"/>
          <w:sz w:val="24"/>
          <w:szCs w:val="24"/>
        </w:rPr>
        <w:t>Any stoppage of work due to annual functions or regular military activities and exercises etc. in the country</w:t>
      </w:r>
    </w:p>
    <w:p w14:paraId="2AC5ADA7" w14:textId="77777777" w:rsidR="005101B8" w:rsidRPr="00CF15C3" w:rsidRDefault="005101B8" w:rsidP="005101B8">
      <w:pPr>
        <w:pStyle w:val="ListParagraph"/>
        <w:numPr>
          <w:ilvl w:val="0"/>
          <w:numId w:val="1"/>
        </w:numPr>
        <w:spacing w:before="120" w:after="120" w:line="360" w:lineRule="auto"/>
        <w:ind w:left="1987" w:hanging="547"/>
        <w:jc w:val="both"/>
        <w:rPr>
          <w:rFonts w:ascii="Times New Roman" w:hAnsi="Times New Roman" w:cs="Times New Roman"/>
          <w:sz w:val="24"/>
          <w:szCs w:val="24"/>
        </w:rPr>
      </w:pPr>
      <w:r w:rsidRPr="00CF15C3">
        <w:rPr>
          <w:rFonts w:ascii="Times New Roman" w:hAnsi="Times New Roman" w:cs="Times New Roman"/>
          <w:sz w:val="24"/>
          <w:szCs w:val="24"/>
        </w:rPr>
        <w:t>Any stoppage of work or delay due to temporary adverse meteorological conditions etc.</w:t>
      </w:r>
    </w:p>
    <w:p w14:paraId="7CA39D7B" w14:textId="77777777" w:rsidR="005101B8" w:rsidRPr="00CF15C3" w:rsidRDefault="005101B8" w:rsidP="005101B8">
      <w:pPr>
        <w:pStyle w:val="ListParagraph"/>
        <w:spacing w:before="120" w:after="120" w:line="360" w:lineRule="auto"/>
        <w:ind w:left="1987"/>
        <w:jc w:val="both"/>
        <w:rPr>
          <w:rFonts w:ascii="Times New Roman" w:hAnsi="Times New Roman" w:cs="Times New Roman"/>
          <w:sz w:val="24"/>
          <w:szCs w:val="24"/>
        </w:rPr>
      </w:pPr>
    </w:p>
    <w:p w14:paraId="57BCF617" w14:textId="77777777" w:rsidR="00507D27" w:rsidRDefault="00507D27"/>
    <w:sectPr w:rsidR="00507D27" w:rsidSect="00715787">
      <w:footerReference w:type="default" r:id="rId7"/>
      <w:pgSz w:w="11909" w:h="16834" w:code="9"/>
      <w:pgMar w:top="1440" w:right="1440" w:bottom="1440" w:left="1440" w:header="720" w:footer="63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42808" w14:textId="77777777" w:rsidR="00930115" w:rsidRDefault="00930115" w:rsidP="00715787">
      <w:r>
        <w:separator/>
      </w:r>
    </w:p>
  </w:endnote>
  <w:endnote w:type="continuationSeparator" w:id="0">
    <w:p w14:paraId="4269F9F9" w14:textId="77777777" w:rsidR="00930115" w:rsidRDefault="00930115" w:rsidP="0071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krutiDevBharati">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A8907" w14:textId="104E891C" w:rsidR="00715787" w:rsidRDefault="00715787">
    <w:pPr>
      <w:pStyle w:val="Footer"/>
    </w:pPr>
    <w:r>
      <w:pict w14:anchorId="3E326EAF">
        <v:rect id="_x0000_i1025" style="width:451.45pt;height:1pt" o:hralign="center" o:hrstd="t" o:hrnoshade="t" o:hr="t" fillcolor="#0070c0" stroked="f"/>
      </w:pict>
    </w:r>
  </w:p>
  <w:p w14:paraId="2FEEBB6F" w14:textId="40FFDC7E" w:rsidR="00715787" w:rsidRPr="00715787" w:rsidRDefault="00715787">
    <w:pPr>
      <w:pStyle w:val="Footer"/>
      <w:rPr>
        <w:rFonts w:ascii="Times New Roman" w:hAnsi="Times New Roman" w:cs="Times New Roman"/>
        <w:sz w:val="20"/>
        <w:szCs w:val="12"/>
      </w:rPr>
    </w:pPr>
    <w:r w:rsidRPr="00715787">
      <w:rPr>
        <w:rFonts w:ascii="Times New Roman" w:hAnsi="Times New Roman" w:cs="Times New Roman"/>
        <w:sz w:val="24"/>
        <w:szCs w:val="16"/>
      </w:rPr>
      <w:t xml:space="preserve">Section </w:t>
    </w:r>
    <w:r>
      <w:rPr>
        <w:rFonts w:ascii="Times New Roman" w:hAnsi="Times New Roman" w:cs="Times New Roman"/>
        <w:sz w:val="24"/>
        <w:szCs w:val="16"/>
      </w:rPr>
      <w:t>XV Part 1 – Preambles to Price Schedules</w:t>
    </w:r>
    <w:r>
      <w:rPr>
        <w:rFonts w:ascii="Times New Roman" w:hAnsi="Times New Roman" w:cs="Times New Roman"/>
        <w:sz w:val="24"/>
        <w:szCs w:val="16"/>
      </w:rPr>
      <w:tab/>
    </w:r>
    <w:r w:rsidRPr="00715787">
      <w:rPr>
        <w:rFonts w:ascii="Times New Roman" w:hAnsi="Times New Roman" w:cs="Times New Roman"/>
        <w:color w:val="7F7F7F" w:themeColor="background1" w:themeShade="7F"/>
        <w:spacing w:val="60"/>
        <w:sz w:val="24"/>
        <w:szCs w:val="16"/>
      </w:rPr>
      <w:t>Page</w:t>
    </w:r>
    <w:r w:rsidRPr="00715787">
      <w:rPr>
        <w:rFonts w:ascii="Times New Roman" w:hAnsi="Times New Roman" w:cs="Times New Roman"/>
        <w:sz w:val="24"/>
        <w:szCs w:val="16"/>
      </w:rPr>
      <w:t xml:space="preserve"> | </w:t>
    </w:r>
    <w:r w:rsidRPr="00715787">
      <w:rPr>
        <w:rFonts w:ascii="Times New Roman" w:hAnsi="Times New Roman" w:cs="Times New Roman"/>
        <w:sz w:val="24"/>
        <w:szCs w:val="16"/>
      </w:rPr>
      <w:fldChar w:fldCharType="begin"/>
    </w:r>
    <w:r w:rsidRPr="00715787">
      <w:rPr>
        <w:rFonts w:ascii="Times New Roman" w:hAnsi="Times New Roman" w:cs="Times New Roman"/>
        <w:sz w:val="24"/>
        <w:szCs w:val="16"/>
      </w:rPr>
      <w:instrText xml:space="preserve"> PAGE   \* MERGEFORMAT </w:instrText>
    </w:r>
    <w:r w:rsidRPr="00715787">
      <w:rPr>
        <w:rFonts w:ascii="Times New Roman" w:hAnsi="Times New Roman" w:cs="Times New Roman"/>
        <w:sz w:val="24"/>
        <w:szCs w:val="16"/>
      </w:rPr>
      <w:fldChar w:fldCharType="separate"/>
    </w:r>
    <w:r w:rsidRPr="00715787">
      <w:rPr>
        <w:rFonts w:ascii="Times New Roman" w:hAnsi="Times New Roman" w:cs="Times New Roman"/>
        <w:b/>
        <w:bCs/>
        <w:noProof/>
        <w:sz w:val="24"/>
        <w:szCs w:val="16"/>
      </w:rPr>
      <w:t>1</w:t>
    </w:r>
    <w:r w:rsidRPr="00715787">
      <w:rPr>
        <w:rFonts w:ascii="Times New Roman" w:hAnsi="Times New Roman" w:cs="Times New Roman"/>
        <w:b/>
        <w:bCs/>
        <w:noProof/>
        <w:sz w:val="24"/>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CE834" w14:textId="77777777" w:rsidR="00930115" w:rsidRDefault="00930115" w:rsidP="00715787">
      <w:r>
        <w:separator/>
      </w:r>
    </w:p>
  </w:footnote>
  <w:footnote w:type="continuationSeparator" w:id="0">
    <w:p w14:paraId="5418DCF1" w14:textId="77777777" w:rsidR="00930115" w:rsidRDefault="00930115" w:rsidP="00715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717D5"/>
    <w:multiLevelType w:val="hybridMultilevel"/>
    <w:tmpl w:val="EE68AD56"/>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C00362"/>
    <w:multiLevelType w:val="hybridMultilevel"/>
    <w:tmpl w:val="C9E017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715ECE"/>
    <w:multiLevelType w:val="hybridMultilevel"/>
    <w:tmpl w:val="BD9A5888"/>
    <w:lvl w:ilvl="0" w:tplc="0A7443A8">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7CE70C62"/>
    <w:multiLevelType w:val="hybridMultilevel"/>
    <w:tmpl w:val="8BAA6D4C"/>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1B8"/>
    <w:rsid w:val="00507D27"/>
    <w:rsid w:val="005101B8"/>
    <w:rsid w:val="00715787"/>
    <w:rsid w:val="00930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61D37"/>
  <w15:chartTrackingRefBased/>
  <w15:docId w15:val="{F07DE229-4AAD-493C-B22C-1CE00549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1B8"/>
    <w:pPr>
      <w:suppressAutoHyphens/>
      <w:spacing w:after="0" w:line="240" w:lineRule="auto"/>
    </w:pPr>
    <w:rPr>
      <w:rFonts w:ascii="AkrutiDevBharati" w:eastAsia="Times New Roman" w:hAnsi="AkrutiDevBharati" w:cs="Mangal"/>
      <w:sz w:val="32"/>
      <w:szCs w:val="20"/>
      <w:lang w:eastAsia="ar-SA"/>
    </w:rPr>
  </w:style>
  <w:style w:type="paragraph" w:styleId="Heading2">
    <w:name w:val="heading 2"/>
    <w:basedOn w:val="Normal"/>
    <w:next w:val="Normal"/>
    <w:link w:val="Heading2Char"/>
    <w:uiPriority w:val="9"/>
    <w:unhideWhenUsed/>
    <w:qFormat/>
    <w:rsid w:val="005101B8"/>
    <w:pPr>
      <w:pBdr>
        <w:bottom w:val="single" w:sz="4" w:space="1" w:color="823B0B" w:themeColor="accent2" w:themeShade="7F"/>
      </w:pBdr>
      <w:suppressAutoHyphens w:val="0"/>
      <w:spacing w:before="400" w:after="200" w:line="252" w:lineRule="auto"/>
      <w:jc w:val="center"/>
      <w:outlineLvl w:val="1"/>
    </w:pPr>
    <w:rPr>
      <w:rFonts w:asciiTheme="majorHAnsi" w:eastAsiaTheme="majorEastAsia" w:hAnsiTheme="majorHAnsi" w:cstheme="majorBidi"/>
      <w:caps/>
      <w:color w:val="833C0B" w:themeColor="accent2" w:themeShade="80"/>
      <w:spacing w:val="15"/>
      <w:sz w:val="24"/>
      <w:szCs w:val="24"/>
      <w:lang w:val="en-AU" w:eastAsia="en-AU"/>
    </w:rPr>
  </w:style>
  <w:style w:type="paragraph" w:styleId="Heading3">
    <w:name w:val="heading 3"/>
    <w:basedOn w:val="Normal"/>
    <w:next w:val="Normal"/>
    <w:link w:val="Heading3Char"/>
    <w:uiPriority w:val="9"/>
    <w:unhideWhenUsed/>
    <w:qFormat/>
    <w:rsid w:val="005101B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01B8"/>
    <w:rPr>
      <w:rFonts w:asciiTheme="majorHAnsi" w:eastAsiaTheme="majorEastAsia" w:hAnsiTheme="majorHAnsi" w:cstheme="majorBidi"/>
      <w:caps/>
      <w:color w:val="833C0B" w:themeColor="accent2" w:themeShade="80"/>
      <w:spacing w:val="15"/>
      <w:sz w:val="24"/>
      <w:szCs w:val="24"/>
      <w:lang w:val="en-AU" w:eastAsia="en-AU"/>
    </w:rPr>
  </w:style>
  <w:style w:type="character" w:customStyle="1" w:styleId="Heading3Char">
    <w:name w:val="Heading 3 Char"/>
    <w:basedOn w:val="DefaultParagraphFont"/>
    <w:link w:val="Heading3"/>
    <w:uiPriority w:val="9"/>
    <w:rsid w:val="005101B8"/>
    <w:rPr>
      <w:rFonts w:asciiTheme="majorHAnsi" w:eastAsiaTheme="majorEastAsia" w:hAnsiTheme="majorHAnsi" w:cstheme="majorBidi"/>
      <w:color w:val="1F3763" w:themeColor="accent1" w:themeShade="7F"/>
      <w:sz w:val="24"/>
      <w:szCs w:val="24"/>
      <w:lang w:eastAsia="ar-SA"/>
    </w:rPr>
  </w:style>
  <w:style w:type="paragraph" w:styleId="ListParagraph">
    <w:name w:val="List Paragraph"/>
    <w:basedOn w:val="Normal"/>
    <w:uiPriority w:val="34"/>
    <w:qFormat/>
    <w:rsid w:val="005101B8"/>
    <w:pPr>
      <w:ind w:left="720"/>
      <w:contextualSpacing/>
    </w:pPr>
  </w:style>
  <w:style w:type="paragraph" w:styleId="Header">
    <w:name w:val="header"/>
    <w:basedOn w:val="Normal"/>
    <w:link w:val="HeaderChar"/>
    <w:uiPriority w:val="99"/>
    <w:unhideWhenUsed/>
    <w:rsid w:val="00715787"/>
    <w:pPr>
      <w:tabs>
        <w:tab w:val="center" w:pos="4680"/>
        <w:tab w:val="right" w:pos="9360"/>
      </w:tabs>
    </w:pPr>
  </w:style>
  <w:style w:type="character" w:customStyle="1" w:styleId="HeaderChar">
    <w:name w:val="Header Char"/>
    <w:basedOn w:val="DefaultParagraphFont"/>
    <w:link w:val="Header"/>
    <w:uiPriority w:val="99"/>
    <w:rsid w:val="00715787"/>
    <w:rPr>
      <w:rFonts w:ascii="AkrutiDevBharati" w:eastAsia="Times New Roman" w:hAnsi="AkrutiDevBharati" w:cs="Mangal"/>
      <w:sz w:val="32"/>
      <w:szCs w:val="20"/>
      <w:lang w:eastAsia="ar-SA"/>
    </w:rPr>
  </w:style>
  <w:style w:type="paragraph" w:styleId="Footer">
    <w:name w:val="footer"/>
    <w:basedOn w:val="Normal"/>
    <w:link w:val="FooterChar"/>
    <w:uiPriority w:val="99"/>
    <w:unhideWhenUsed/>
    <w:rsid w:val="00715787"/>
    <w:pPr>
      <w:tabs>
        <w:tab w:val="center" w:pos="4680"/>
        <w:tab w:val="right" w:pos="9360"/>
      </w:tabs>
    </w:pPr>
  </w:style>
  <w:style w:type="character" w:customStyle="1" w:styleId="FooterChar">
    <w:name w:val="Footer Char"/>
    <w:basedOn w:val="DefaultParagraphFont"/>
    <w:link w:val="Footer"/>
    <w:uiPriority w:val="99"/>
    <w:rsid w:val="00715787"/>
    <w:rPr>
      <w:rFonts w:ascii="AkrutiDevBharati" w:eastAsia="Times New Roman" w:hAnsi="AkrutiDevBharati" w:cs="Mangal"/>
      <w:sz w:val="3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cp:revision>
  <dcterms:created xsi:type="dcterms:W3CDTF">2020-11-20T04:36:00Z</dcterms:created>
  <dcterms:modified xsi:type="dcterms:W3CDTF">2020-11-20T04:38:00Z</dcterms:modified>
</cp:coreProperties>
</file>