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F4504">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CF4504">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F4504">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CF4504">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F4504">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F4504">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CF4504">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CF4504">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CF4504">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Average Annual Construction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2D0430">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2D0430">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 xml:space="preserve">Million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CF4504">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CF4504">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2" w:name="_Toc281416269"/>
      <w:bookmarkStart w:id="53"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2"/>
      <w:bookmarkEnd w:id="53"/>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CF4504" w:rsidRDefault="00CF4504" w:rsidP="00CF4504">
            <w:pPr>
              <w:rPr>
                <w:rFonts w:ascii="Times New Roman" w:hAnsi="Times New Roman" w:cs="Times New Roman"/>
              </w:rPr>
            </w:pPr>
            <w:r>
              <w:rPr>
                <w:rFonts w:ascii="Times New Roman" w:hAnsi="Times New Roman" w:cs="Times New Roman"/>
              </w:rPr>
              <w:t>1. Pipe laying (Water supply/ Sewerage) - at least 2 km pipe laying</w:t>
            </w:r>
          </w:p>
          <w:p w:rsidR="00CF4504" w:rsidRDefault="00CF4504" w:rsidP="00CF4504">
            <w:pPr>
              <w:rPr>
                <w:rFonts w:ascii="Times New Roman" w:hAnsi="Times New Roman" w:cs="Times New Roman"/>
              </w:rPr>
            </w:pPr>
            <w:r>
              <w:rPr>
                <w:rFonts w:ascii="Times New Roman" w:hAnsi="Times New Roman" w:cs="Times New Roman"/>
              </w:rPr>
              <w:t>2. RO Plant Construction - at least 25 CBM capacity</w:t>
            </w:r>
          </w:p>
          <w:p w:rsidR="00CF4504" w:rsidRDefault="00CF4504" w:rsidP="00CF4504">
            <w:pPr>
              <w:rPr>
                <w:rFonts w:ascii="Times New Roman" w:hAnsi="Times New Roman" w:cs="Times New Roman"/>
              </w:rPr>
            </w:pPr>
            <w:r>
              <w:rPr>
                <w:rFonts w:ascii="Times New Roman" w:hAnsi="Times New Roman" w:cs="Times New Roman"/>
              </w:rPr>
              <w:t>3. Pump Stations construction - at least 1 no.'s</w:t>
            </w:r>
          </w:p>
          <w:p w:rsidR="002C4164" w:rsidRPr="00CF4504" w:rsidRDefault="002C4164" w:rsidP="00CF4504">
            <w:pPr>
              <w:rPr>
                <w:rFonts w:ascii="Times New Roman" w:eastAsia="Times New Roman" w:hAnsi="Times New Roman" w:cs="Times New Roman"/>
                <w:caps/>
                <w:color w:val="632423"/>
                <w:spacing w:val="50"/>
                <w:sz w:val="44"/>
                <w:szCs w:val="44"/>
              </w:rPr>
            </w:pPr>
            <w:bookmarkStart w:id="54" w:name="_GoBack"/>
            <w:bookmarkEnd w:id="54"/>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2D0430">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DE0" w:rsidRDefault="00A52DE0" w:rsidP="0040772A">
      <w:r>
        <w:separator/>
      </w:r>
    </w:p>
  </w:endnote>
  <w:endnote w:type="continuationSeparator" w:id="0">
    <w:p w:rsidR="00A52DE0" w:rsidRDefault="00A52DE0"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DE0" w:rsidRDefault="00A52DE0" w:rsidP="0040772A">
      <w:r>
        <w:separator/>
      </w:r>
    </w:p>
  </w:footnote>
  <w:footnote w:type="continuationSeparator" w:id="0">
    <w:p w:rsidR="00A52DE0" w:rsidRDefault="00A52DE0"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93E7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0430"/>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77655"/>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2DE0"/>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4504"/>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4795347">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325F-FDCB-4DDA-9A92-F96B30AC8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43</TotalTime>
  <Pages>14</Pages>
  <Words>1686</Words>
  <Characters>11018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23</cp:revision>
  <cp:lastPrinted>2013-02-13T04:05:00Z</cp:lastPrinted>
  <dcterms:created xsi:type="dcterms:W3CDTF">2019-01-29T08:54:00Z</dcterms:created>
  <dcterms:modified xsi:type="dcterms:W3CDTF">2019-02-05T09:41:00Z</dcterms:modified>
</cp:coreProperties>
</file>