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F23" w:rsidRDefault="007E3F23" w:rsidP="007E3F23">
      <w:pPr>
        <w:pStyle w:val="SectionVHeader"/>
        <w:ind w:left="360" w:right="288"/>
        <w:rPr>
          <w:rFonts w:cs="Arial"/>
          <w:lang w:val="en-US"/>
        </w:rPr>
      </w:pPr>
      <w:bookmarkStart w:id="0" w:name="_Toc107300519"/>
      <w:r>
        <w:rPr>
          <w:rFonts w:cs="Arial"/>
          <w:lang w:val="en-US"/>
        </w:rPr>
        <w:t>Letter of Bid</w:t>
      </w:r>
      <w:bookmarkEnd w:id="0"/>
    </w:p>
    <w:p w:rsidR="007E3F23" w:rsidRDefault="007E3F23" w:rsidP="007E3F23">
      <w:pPr>
        <w:tabs>
          <w:tab w:val="right" w:pos="9000"/>
        </w:tabs>
        <w:ind w:left="270" w:right="288"/>
        <w:rPr>
          <w:rFonts w:ascii="Arial Black" w:hAnsi="Arial Black" w:cs="Arial"/>
          <w:color w:val="FFFFFF"/>
          <w:sz w:val="16"/>
          <w:szCs w:val="16"/>
        </w:rPr>
      </w:pPr>
      <w:r>
        <w:rPr>
          <w:rFonts w:ascii="Arial Black" w:hAnsi="Arial Black" w:cs="Arial"/>
          <w:color w:val="FFFFFF"/>
          <w:sz w:val="16"/>
          <w:szCs w:val="16"/>
          <w:highlight w:val="black"/>
        </w:rPr>
        <w:t>-Note-</w:t>
      </w:r>
    </w:p>
    <w:p w:rsidR="007E3F23" w:rsidRDefault="007E3F23" w:rsidP="007E3F23">
      <w:pPr>
        <w:pBdr>
          <w:top w:val="single" w:sz="4" w:space="1" w:color="auto"/>
          <w:left w:val="single" w:sz="4" w:space="4" w:color="auto"/>
          <w:bottom w:val="single" w:sz="4" w:space="0" w:color="auto"/>
          <w:right w:val="single" w:sz="4" w:space="4" w:color="auto"/>
        </w:pBdr>
        <w:tabs>
          <w:tab w:val="right" w:pos="9000"/>
        </w:tabs>
        <w:spacing w:after="120"/>
        <w:ind w:left="360" w:right="288"/>
        <w:rPr>
          <w:rFonts w:cs="Arial"/>
        </w:rPr>
      </w:pPr>
      <w:r>
        <w:rPr>
          <w:rFonts w:ascii="Comic Sans MS" w:hAnsi="Comic Sans MS"/>
          <w:i/>
          <w:iCs/>
          <w:sz w:val="16"/>
        </w:rPr>
        <w:t>The bidder must accomplish the Letter of Bid on its letterhead clearly showing the bidder’s complete name and address.</w:t>
      </w:r>
    </w:p>
    <w:p w:rsidR="007E3F23" w:rsidRDefault="007E3F23" w:rsidP="007E3F23">
      <w:pPr>
        <w:tabs>
          <w:tab w:val="right" w:pos="9000"/>
        </w:tabs>
        <w:ind w:left="360" w:right="288" w:firstLine="720"/>
        <w:rPr>
          <w:rFonts w:cs="Arial"/>
        </w:rPr>
      </w:pPr>
    </w:p>
    <w:p w:rsidR="007E3F23" w:rsidRDefault="007E3F23" w:rsidP="007E3F23">
      <w:pPr>
        <w:tabs>
          <w:tab w:val="right" w:pos="9000"/>
        </w:tabs>
        <w:ind w:left="360" w:right="288"/>
        <w:rPr>
          <w:rFonts w:ascii="Arial" w:hAnsi="Arial" w:cs="Arial"/>
          <w:sz w:val="20"/>
        </w:rPr>
      </w:pPr>
    </w:p>
    <w:p w:rsidR="007E3F23" w:rsidRDefault="007E3F23" w:rsidP="007E3F23">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7E3F23" w:rsidRDefault="007E3F23" w:rsidP="007E3F23">
      <w:pPr>
        <w:tabs>
          <w:tab w:val="right" w:pos="6480"/>
          <w:tab w:val="right" w:leader="dot" w:pos="9360"/>
        </w:tabs>
        <w:spacing w:before="120"/>
        <w:ind w:left="360" w:right="288"/>
        <w:rPr>
          <w:rFonts w:ascii="Arial" w:hAnsi="Arial" w:cs="Arial"/>
          <w:sz w:val="20"/>
        </w:rPr>
      </w:pPr>
      <w:r>
        <w:rPr>
          <w:rFonts w:ascii="Arial" w:hAnsi="Arial" w:cs="Arial"/>
          <w:sz w:val="20"/>
        </w:rPr>
        <w:tab/>
        <w:t xml:space="preserve">ICB No.: </w:t>
      </w:r>
      <w:r>
        <w:rPr>
          <w:rFonts w:ascii="Arial" w:hAnsi="Arial" w:cs="Arial"/>
          <w:sz w:val="20"/>
        </w:rPr>
        <w:tab/>
      </w:r>
    </w:p>
    <w:p w:rsidR="007E3F23" w:rsidRDefault="007E3F23" w:rsidP="007E3F23">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7E3F23" w:rsidRDefault="007E3F23" w:rsidP="007E3F23">
      <w:pPr>
        <w:ind w:left="360" w:right="288"/>
        <w:rPr>
          <w:rFonts w:ascii="Arial" w:hAnsi="Arial" w:cs="Arial"/>
          <w:sz w:val="20"/>
        </w:rPr>
      </w:pPr>
    </w:p>
    <w:p w:rsidR="007E3F23" w:rsidRDefault="007E3F23" w:rsidP="007E3F23">
      <w:pPr>
        <w:ind w:left="360" w:right="288"/>
        <w:rPr>
          <w:rFonts w:ascii="Arial" w:hAnsi="Arial" w:cs="Arial"/>
          <w:sz w:val="20"/>
        </w:rPr>
      </w:pPr>
    </w:p>
    <w:p w:rsidR="007E3F23" w:rsidRDefault="007E3F23" w:rsidP="007E3F23">
      <w:pPr>
        <w:ind w:left="360" w:right="288"/>
        <w:rPr>
          <w:rFonts w:ascii="Arial" w:hAnsi="Arial" w:cs="Arial"/>
          <w:sz w:val="20"/>
        </w:rPr>
      </w:pPr>
    </w:p>
    <w:p w:rsidR="007E3F23" w:rsidRDefault="007E3F23" w:rsidP="007E3F23">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7E3F23" w:rsidRDefault="007E3F23" w:rsidP="007E3F23">
      <w:pPr>
        <w:ind w:left="360" w:right="288"/>
        <w:rPr>
          <w:rFonts w:ascii="Arial" w:hAnsi="Arial" w:cs="Arial"/>
          <w:sz w:val="20"/>
        </w:rPr>
      </w:pPr>
    </w:p>
    <w:p w:rsidR="007E3F23" w:rsidRDefault="007E3F23" w:rsidP="007E3F23">
      <w:pPr>
        <w:ind w:left="360" w:right="288"/>
        <w:rPr>
          <w:rFonts w:ascii="Arial" w:hAnsi="Arial" w:cs="Arial"/>
          <w:sz w:val="20"/>
        </w:rPr>
      </w:pPr>
    </w:p>
    <w:p w:rsidR="007E3F23" w:rsidRDefault="007E3F23" w:rsidP="007E3F23">
      <w:pPr>
        <w:ind w:left="360" w:right="288"/>
        <w:rPr>
          <w:rFonts w:ascii="Arial" w:hAnsi="Arial" w:cs="Arial"/>
          <w:sz w:val="20"/>
        </w:rPr>
      </w:pPr>
    </w:p>
    <w:p w:rsidR="007E3F23" w:rsidRDefault="007E3F23" w:rsidP="007E3F23">
      <w:pPr>
        <w:spacing w:before="60" w:after="60"/>
        <w:ind w:left="360" w:right="288"/>
        <w:rPr>
          <w:rFonts w:ascii="Arial" w:hAnsi="Arial" w:cs="Arial"/>
          <w:sz w:val="20"/>
        </w:rPr>
      </w:pPr>
      <w:r>
        <w:rPr>
          <w:rFonts w:ascii="Arial" w:hAnsi="Arial" w:cs="Arial"/>
          <w:sz w:val="20"/>
        </w:rPr>
        <w:t xml:space="preserve">We, the undersigned, declare that: </w:t>
      </w:r>
    </w:p>
    <w:p w:rsidR="007E3F23" w:rsidRDefault="007E3F23" w:rsidP="007E3F23">
      <w:pPr>
        <w:spacing w:before="60" w:after="60"/>
        <w:ind w:left="360" w:right="288"/>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p>
    <w:p w:rsidR="007E3F23" w:rsidRDefault="007E3F23" w:rsidP="007E3F23">
      <w:pPr>
        <w:spacing w:before="60" w:after="60"/>
        <w:ind w:left="360" w:right="288"/>
        <w:jc w:val="both"/>
        <w:rPr>
          <w:rFonts w:ascii="Arial" w:hAnsi="Arial" w:cs="Arial"/>
          <w:sz w:val="20"/>
        </w:rPr>
      </w:pPr>
    </w:p>
    <w:p w:rsidR="007E3F23" w:rsidRDefault="007E3F23" w:rsidP="00506E0F">
      <w:pPr>
        <w:numPr>
          <w:ilvl w:val="0"/>
          <w:numId w:val="1"/>
        </w:numPr>
        <w:tabs>
          <w:tab w:val="left" w:pos="900"/>
          <w:tab w:val="right" w:pos="9000"/>
        </w:tabs>
        <w:spacing w:before="60" w:after="60"/>
        <w:ind w:right="288"/>
        <w:jc w:val="both"/>
        <w:rPr>
          <w:rFonts w:ascii="Arial" w:hAnsi="Arial" w:cs="Arial"/>
          <w:sz w:val="20"/>
        </w:rPr>
      </w:pPr>
      <w:r>
        <w:rPr>
          <w:rFonts w:ascii="Arial" w:hAnsi="Arial" w:cs="Arial"/>
          <w:sz w:val="20"/>
        </w:rPr>
        <w:t xml:space="preserve">We offer to execute in conformity with the Bidding Documents the following Works: </w:t>
      </w:r>
      <w:r w:rsidRPr="007E3F23">
        <w:rPr>
          <w:rFonts w:ascii="Arial" w:hAnsi="Arial" w:cs="Arial"/>
          <w:sz w:val="20"/>
        </w:rPr>
        <w:t xml:space="preserve">Provision of Water Supply Facilities in </w:t>
      </w:r>
      <w:r w:rsidR="00506E0F" w:rsidRPr="00506E0F">
        <w:rPr>
          <w:rFonts w:ascii="Arial" w:hAnsi="Arial" w:cs="Arial"/>
          <w:sz w:val="20"/>
        </w:rPr>
        <w:t xml:space="preserve">Dh. </w:t>
      </w:r>
      <w:proofErr w:type="spellStart"/>
      <w:r w:rsidR="00506E0F" w:rsidRPr="00506E0F">
        <w:rPr>
          <w:rFonts w:ascii="Arial" w:hAnsi="Arial" w:cs="Arial"/>
          <w:sz w:val="20"/>
        </w:rPr>
        <w:t>Kudahuvadhoo</w:t>
      </w:r>
      <w:proofErr w:type="spellEnd"/>
      <w:r w:rsidR="00506E0F" w:rsidRPr="00506E0F">
        <w:rPr>
          <w:rFonts w:ascii="Arial" w:hAnsi="Arial" w:cs="Arial"/>
          <w:sz w:val="20"/>
        </w:rPr>
        <w:t xml:space="preserve">, Th. </w:t>
      </w:r>
      <w:proofErr w:type="spellStart"/>
      <w:r w:rsidR="00506E0F" w:rsidRPr="00506E0F">
        <w:rPr>
          <w:rFonts w:ascii="Arial" w:hAnsi="Arial" w:cs="Arial"/>
          <w:sz w:val="20"/>
        </w:rPr>
        <w:t>Guraidhoo</w:t>
      </w:r>
      <w:proofErr w:type="spellEnd"/>
      <w:r w:rsidR="00506E0F" w:rsidRPr="00506E0F">
        <w:rPr>
          <w:rFonts w:ascii="Arial" w:hAnsi="Arial" w:cs="Arial"/>
          <w:sz w:val="20"/>
        </w:rPr>
        <w:t xml:space="preserve"> and Ga. Villingili</w:t>
      </w:r>
      <w:bookmarkStart w:id="1" w:name="_GoBack"/>
      <w:bookmarkEnd w:id="1"/>
      <w:r>
        <w:rPr>
          <w:rFonts w:ascii="Arial" w:hAnsi="Arial" w:cs="Arial"/>
          <w:sz w:val="20"/>
        </w:rPr>
        <w:tab/>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The total price of our Bid, excluding any discounts offered in item (d) below is: </w:t>
      </w:r>
      <w:r>
        <w:rPr>
          <w:rFonts w:ascii="Arial" w:hAnsi="Arial" w:cs="Arial"/>
          <w:sz w:val="20"/>
        </w:rPr>
        <w:tab/>
      </w:r>
    </w:p>
    <w:p w:rsidR="007E3F23" w:rsidRDefault="007E3F23" w:rsidP="007E3F23">
      <w:pPr>
        <w:tabs>
          <w:tab w:val="left" w:pos="900"/>
          <w:tab w:val="right" w:pos="9000"/>
        </w:tabs>
        <w:spacing w:before="60" w:after="60"/>
        <w:ind w:left="360" w:right="288"/>
        <w:jc w:val="both"/>
        <w:rPr>
          <w:rFonts w:ascii="Arial" w:hAnsi="Arial" w:cs="Arial"/>
          <w:sz w:val="20"/>
        </w:rPr>
      </w:pPr>
      <w:r>
        <w:rPr>
          <w:noProof/>
          <w:lang w:val="en-GB" w:eastAsia="en-GB" w:bidi="ta-IN"/>
        </w:rPr>
        <mc:AlternateContent>
          <mc:Choice Requires="wps">
            <w:drawing>
              <wp:anchor distT="0" distB="0" distL="114300" distR="114300" simplePos="0" relativeHeight="251658240" behindDoc="0" locked="0" layoutInCell="1" allowOverlap="1" wp14:anchorId="0025BF35" wp14:editId="432509C1">
                <wp:simplePos x="0" y="0"/>
                <wp:positionH relativeFrom="column">
                  <wp:posOffset>560705</wp:posOffset>
                </wp:positionH>
                <wp:positionV relativeFrom="paragraph">
                  <wp:posOffset>108585</wp:posOffset>
                </wp:positionV>
                <wp:extent cx="5457825" cy="1819910"/>
                <wp:effectExtent l="0" t="0" r="28575" b="2794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1819910"/>
                        </a:xfrm>
                        <a:prstGeom prst="rect">
                          <a:avLst/>
                        </a:prstGeom>
                        <a:solidFill>
                          <a:sysClr val="window" lastClr="FFFFFF"/>
                        </a:solidFill>
                        <a:ln w="25400" cap="flat" cmpd="sng" algn="ctr">
                          <a:solidFill>
                            <a:sysClr val="windowText" lastClr="000000"/>
                          </a:solidFill>
                          <a:prstDash val="solid"/>
                        </a:ln>
                        <a:effectLst/>
                      </wps:spPr>
                      <wps:txbx>
                        <w:txbxContent>
                          <w:p w:rsidR="007E3F23" w:rsidRDefault="007E3F23" w:rsidP="007E3F23">
                            <w:pPr>
                              <w:jc w:val="both"/>
                              <w:rPr>
                                <w:rFonts w:ascii="Comic Sans MS" w:hAnsi="Comic Sans MS" w:cs="Arial"/>
                                <w:i/>
                                <w:sz w:val="16"/>
                                <w:szCs w:val="16"/>
                              </w:rPr>
                            </w:pPr>
                            <w:r>
                              <w:rPr>
                                <w:rFonts w:ascii="Arial" w:hAnsi="Arial" w:cs="Arial"/>
                                <w:sz w:val="20"/>
                              </w:rPr>
                              <w:t xml:space="preserve">For Lot No 1: </w:t>
                            </w:r>
                            <w:r w:rsidRPr="007E3F23">
                              <w:rPr>
                                <w:rFonts w:ascii="Arial" w:hAnsi="Arial" w:cs="Arial"/>
                                <w:sz w:val="20"/>
                              </w:rPr>
                              <w:t xml:space="preserve">Provision of Water Supply Facilities in </w:t>
                            </w:r>
                            <w:r w:rsidR="00E301EE" w:rsidRPr="00E301EE">
                              <w:rPr>
                                <w:rFonts w:ascii="Arial" w:hAnsi="Arial" w:cs="Arial"/>
                                <w:sz w:val="20"/>
                              </w:rPr>
                              <w:t xml:space="preserve">Dh. </w:t>
                            </w:r>
                            <w:proofErr w:type="spellStart"/>
                            <w:r w:rsidR="00E301EE" w:rsidRPr="00E301EE">
                              <w:rPr>
                                <w:rFonts w:ascii="Arial" w:hAnsi="Arial" w:cs="Arial"/>
                                <w:sz w:val="20"/>
                              </w:rPr>
                              <w:t>Kudahuvadhoo</w:t>
                            </w:r>
                            <w:proofErr w:type="spellEnd"/>
                            <w:r w:rsidR="00E301EE" w:rsidRPr="00E301EE">
                              <w:rPr>
                                <w:rFonts w:ascii="Arial" w:hAnsi="Arial" w:cs="Arial"/>
                                <w:sz w:val="20"/>
                              </w:rPr>
                              <w:t xml:space="preserve"> </w:t>
                            </w:r>
                            <w:r>
                              <w:rPr>
                                <w:rFonts w:ascii="Arial" w:hAnsi="Arial" w:cs="Arial"/>
                                <w:sz w:val="20"/>
                              </w:rPr>
                              <w:t>[</w:t>
                            </w:r>
                            <w:r>
                              <w:rPr>
                                <w:rFonts w:ascii="Comic Sans MS" w:hAnsi="Comic Sans MS" w:cs="Arial"/>
                                <w:i/>
                                <w:sz w:val="16"/>
                                <w:szCs w:val="16"/>
                              </w:rPr>
                              <w:t>amount of foreign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 and [</w:t>
                            </w:r>
                            <w:r>
                              <w:rPr>
                                <w:rFonts w:ascii="Comic Sans MS" w:hAnsi="Comic Sans MS" w:cs="Arial"/>
                                <w:i/>
                                <w:sz w:val="16"/>
                                <w:szCs w:val="16"/>
                              </w:rPr>
                              <w:t>amount of local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w:t>
                            </w:r>
                            <w:r>
                              <w:rPr>
                                <w:rFonts w:ascii="Comic Sans MS" w:hAnsi="Comic Sans MS" w:cs="Arial"/>
                                <w:i/>
                                <w:sz w:val="16"/>
                                <w:szCs w:val="16"/>
                              </w:rPr>
                              <w:t xml:space="preserve"> </w:t>
                            </w:r>
                          </w:p>
                          <w:p w:rsidR="007E3F23" w:rsidRDefault="007E3F23" w:rsidP="007E3F23">
                            <w:pPr>
                              <w:jc w:val="both"/>
                              <w:rPr>
                                <w:rFonts w:ascii="Comic Sans MS" w:hAnsi="Comic Sans MS" w:cs="Arial"/>
                                <w:i/>
                                <w:sz w:val="16"/>
                                <w:szCs w:val="16"/>
                              </w:rPr>
                            </w:pPr>
                          </w:p>
                          <w:p w:rsidR="007E3F23" w:rsidRDefault="007E3F23" w:rsidP="007E3F23">
                            <w:pPr>
                              <w:jc w:val="both"/>
                              <w:rPr>
                                <w:rFonts w:ascii="Comic Sans MS" w:hAnsi="Comic Sans MS" w:cs="Arial"/>
                                <w:i/>
                                <w:sz w:val="16"/>
                                <w:szCs w:val="16"/>
                              </w:rPr>
                            </w:pPr>
                            <w:r>
                              <w:rPr>
                                <w:rFonts w:ascii="Arial" w:hAnsi="Arial" w:cs="Arial"/>
                                <w:sz w:val="20"/>
                              </w:rPr>
                              <w:t xml:space="preserve">For Lot No 2: </w:t>
                            </w:r>
                            <w:r w:rsidRPr="007E3F23">
                              <w:rPr>
                                <w:rFonts w:ascii="Arial" w:hAnsi="Arial" w:cs="Arial"/>
                                <w:sz w:val="20"/>
                              </w:rPr>
                              <w:t>Provision of Water Supply Facilities in</w:t>
                            </w:r>
                            <w:r>
                              <w:rPr>
                                <w:rFonts w:ascii="Arial" w:hAnsi="Arial" w:cs="Arial"/>
                                <w:sz w:val="20"/>
                              </w:rPr>
                              <w:t xml:space="preserve"> </w:t>
                            </w:r>
                            <w:r w:rsidR="00E301EE" w:rsidRPr="00E301EE">
                              <w:rPr>
                                <w:rFonts w:ascii="Arial" w:hAnsi="Arial" w:cs="Arial"/>
                                <w:sz w:val="20"/>
                              </w:rPr>
                              <w:t xml:space="preserve">Th. </w:t>
                            </w:r>
                            <w:proofErr w:type="spellStart"/>
                            <w:r w:rsidR="00E301EE" w:rsidRPr="00E301EE">
                              <w:rPr>
                                <w:rFonts w:ascii="Arial" w:hAnsi="Arial" w:cs="Arial"/>
                                <w:sz w:val="20"/>
                              </w:rPr>
                              <w:t>Guraidhoo</w:t>
                            </w:r>
                            <w:proofErr w:type="spellEnd"/>
                            <w:r w:rsidR="00E301EE" w:rsidRPr="00E301EE">
                              <w:rPr>
                                <w:rFonts w:ascii="Arial" w:hAnsi="Arial" w:cs="Arial"/>
                                <w:sz w:val="20"/>
                              </w:rPr>
                              <w:t xml:space="preserve"> </w:t>
                            </w:r>
                            <w:r>
                              <w:rPr>
                                <w:rFonts w:ascii="Arial" w:hAnsi="Arial" w:cs="Arial"/>
                                <w:sz w:val="20"/>
                              </w:rPr>
                              <w:t>[</w:t>
                            </w:r>
                            <w:r>
                              <w:rPr>
                                <w:rFonts w:ascii="Comic Sans MS" w:hAnsi="Comic Sans MS" w:cs="Arial"/>
                                <w:i/>
                                <w:sz w:val="16"/>
                                <w:szCs w:val="16"/>
                              </w:rPr>
                              <w:t>amount of foreign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 and [</w:t>
                            </w:r>
                            <w:r>
                              <w:rPr>
                                <w:rFonts w:ascii="Comic Sans MS" w:hAnsi="Comic Sans MS" w:cs="Arial"/>
                                <w:i/>
                                <w:sz w:val="16"/>
                                <w:szCs w:val="16"/>
                              </w:rPr>
                              <w:t>amount of local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w:t>
                            </w:r>
                          </w:p>
                          <w:p w:rsidR="00E301EE" w:rsidRDefault="00E301EE" w:rsidP="00E301EE">
                            <w:pPr>
                              <w:jc w:val="both"/>
                              <w:rPr>
                                <w:rFonts w:ascii="Comic Sans MS" w:hAnsi="Comic Sans MS" w:cs="Arial"/>
                                <w:i/>
                                <w:sz w:val="16"/>
                                <w:szCs w:val="16"/>
                              </w:rPr>
                            </w:pPr>
                          </w:p>
                          <w:p w:rsidR="00E301EE" w:rsidRDefault="00E301EE" w:rsidP="00E301EE">
                            <w:pPr>
                              <w:jc w:val="both"/>
                              <w:rPr>
                                <w:rFonts w:ascii="Comic Sans MS" w:hAnsi="Comic Sans MS" w:cs="Arial"/>
                                <w:i/>
                                <w:sz w:val="16"/>
                                <w:szCs w:val="16"/>
                              </w:rPr>
                            </w:pPr>
                            <w:r>
                              <w:rPr>
                                <w:rFonts w:ascii="Arial" w:hAnsi="Arial" w:cs="Arial"/>
                                <w:sz w:val="20"/>
                              </w:rPr>
                              <w:t xml:space="preserve">For Lot No 2: </w:t>
                            </w:r>
                            <w:r w:rsidRPr="007E3F23">
                              <w:rPr>
                                <w:rFonts w:ascii="Arial" w:hAnsi="Arial" w:cs="Arial"/>
                                <w:sz w:val="20"/>
                              </w:rPr>
                              <w:t>Provision of Water Supply Facilities in</w:t>
                            </w:r>
                            <w:r>
                              <w:rPr>
                                <w:rFonts w:ascii="Arial" w:hAnsi="Arial" w:cs="Arial"/>
                                <w:sz w:val="20"/>
                              </w:rPr>
                              <w:t xml:space="preserve"> </w:t>
                            </w:r>
                            <w:r w:rsidRPr="00E301EE">
                              <w:rPr>
                                <w:rFonts w:ascii="Arial" w:hAnsi="Arial" w:cs="Arial"/>
                                <w:sz w:val="20"/>
                              </w:rPr>
                              <w:t xml:space="preserve">Ga. </w:t>
                            </w:r>
                            <w:proofErr w:type="spellStart"/>
                            <w:r w:rsidRPr="00E301EE">
                              <w:rPr>
                                <w:rFonts w:ascii="Arial" w:hAnsi="Arial" w:cs="Arial"/>
                                <w:sz w:val="20"/>
                              </w:rPr>
                              <w:t>Villingili</w:t>
                            </w:r>
                            <w:proofErr w:type="spellEnd"/>
                            <w:r w:rsidRPr="00E301EE">
                              <w:rPr>
                                <w:rFonts w:ascii="Arial" w:hAnsi="Arial" w:cs="Arial"/>
                                <w:sz w:val="20"/>
                              </w:rPr>
                              <w:t xml:space="preserve"> </w:t>
                            </w:r>
                            <w:r>
                              <w:rPr>
                                <w:rFonts w:ascii="Arial" w:hAnsi="Arial" w:cs="Arial"/>
                                <w:sz w:val="20"/>
                              </w:rPr>
                              <w:t>[</w:t>
                            </w:r>
                            <w:r>
                              <w:rPr>
                                <w:rFonts w:ascii="Comic Sans MS" w:hAnsi="Comic Sans MS" w:cs="Arial"/>
                                <w:i/>
                                <w:sz w:val="16"/>
                                <w:szCs w:val="16"/>
                              </w:rPr>
                              <w:t>amount of foreign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 and [</w:t>
                            </w:r>
                            <w:r>
                              <w:rPr>
                                <w:rFonts w:ascii="Comic Sans MS" w:hAnsi="Comic Sans MS" w:cs="Arial"/>
                                <w:i/>
                                <w:sz w:val="16"/>
                                <w:szCs w:val="16"/>
                              </w:rPr>
                              <w:t>amount of local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w:t>
                            </w:r>
                          </w:p>
                          <w:p w:rsidR="007E3F23" w:rsidRPr="00E301EE" w:rsidRDefault="007E3F23" w:rsidP="007E3F23">
                            <w:pPr>
                              <w:jc w:val="both"/>
                              <w:rPr>
                                <w:rFonts w:ascii="Comic Sans MS" w:hAnsi="Comic Sans MS" w:cs="Arial"/>
                                <w:b/>
                                <w:bCs/>
                                <w:i/>
                                <w:sz w:val="16"/>
                                <w:szCs w:val="16"/>
                              </w:rPr>
                            </w:pPr>
                          </w:p>
                          <w:p w:rsidR="007E3F23" w:rsidRDefault="007E3F23" w:rsidP="007E3F23">
                            <w:pPr>
                              <w:jc w:val="both"/>
                              <w:rPr>
                                <w:rFonts w:ascii="Comic Sans MS" w:hAnsi="Comic Sans MS" w:cs="Arial"/>
                                <w:i/>
                                <w:sz w:val="16"/>
                                <w:szCs w:val="16"/>
                              </w:rPr>
                            </w:pPr>
                            <w:r>
                              <w:rPr>
                                <w:rFonts w:ascii="Comic Sans MS" w:hAnsi="Comic Sans MS" w:cs="Arial"/>
                                <w:i/>
                                <w:sz w:val="16"/>
                                <w:szCs w:val="16"/>
                              </w:rPr>
                              <w:t>The total bid price from the Summary of Bill of Quantities should be entered by the bidder inside this box. Absence of the total bid price in the Letter of Bid may result in the rejection of the bid.</w:t>
                            </w:r>
                          </w:p>
                          <w:p w:rsidR="007E3F23" w:rsidRDefault="007E3F23" w:rsidP="007E3F23">
                            <w:pPr>
                              <w:jc w:val="both"/>
                            </w:pPr>
                          </w:p>
                          <w:p w:rsidR="007E3F23" w:rsidRDefault="007E3F23" w:rsidP="007E3F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3" o:spid="_x0000_s1026" type="#_x0000_t202" style="position:absolute;left:0;text-align:left;margin-left:44.15pt;margin-top:8.55pt;width:429.75pt;height:14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" fillcolor="window" strokecolor="windowText" strokeweight="2pt">
                <v:path arrowok="t"/>
                <v:textbox>
                  <w:txbxContent>
                    <w:p w:rsidR="007E3F23" w:rsidRDefault="007E3F23" w:rsidP="007E3F23">
                      <w:pPr>
                        <w:jc w:val="both"/>
                        <w:rPr>
                          <w:rFonts w:ascii="Comic Sans MS" w:hAnsi="Comic Sans MS" w:cs="Arial"/>
                          <w:i/>
                          <w:sz w:val="16"/>
                          <w:szCs w:val="16"/>
                        </w:rPr>
                      </w:pPr>
                      <w:r>
                        <w:rPr>
                          <w:rFonts w:ascii="Arial" w:hAnsi="Arial" w:cs="Arial"/>
                          <w:sz w:val="20"/>
                        </w:rPr>
                        <w:t xml:space="preserve">For Lot No 1: </w:t>
                      </w:r>
                      <w:r w:rsidRPr="007E3F23">
                        <w:rPr>
                          <w:rFonts w:ascii="Arial" w:hAnsi="Arial" w:cs="Arial"/>
                          <w:sz w:val="20"/>
                        </w:rPr>
                        <w:t xml:space="preserve">Provision of Water Supply Facilities in </w:t>
                      </w:r>
                      <w:r w:rsidR="00E301EE" w:rsidRPr="00E301EE">
                        <w:rPr>
                          <w:rFonts w:ascii="Arial" w:hAnsi="Arial" w:cs="Arial"/>
                          <w:sz w:val="20"/>
                        </w:rPr>
                        <w:t xml:space="preserve">Dh. </w:t>
                      </w:r>
                      <w:proofErr w:type="spellStart"/>
                      <w:r w:rsidR="00E301EE" w:rsidRPr="00E301EE">
                        <w:rPr>
                          <w:rFonts w:ascii="Arial" w:hAnsi="Arial" w:cs="Arial"/>
                          <w:sz w:val="20"/>
                        </w:rPr>
                        <w:t>Kudahuvadhoo</w:t>
                      </w:r>
                      <w:proofErr w:type="spellEnd"/>
                      <w:r w:rsidR="00E301EE" w:rsidRPr="00E301EE">
                        <w:rPr>
                          <w:rFonts w:ascii="Arial" w:hAnsi="Arial" w:cs="Arial"/>
                          <w:sz w:val="20"/>
                        </w:rPr>
                        <w:t xml:space="preserve"> </w:t>
                      </w:r>
                      <w:r>
                        <w:rPr>
                          <w:rFonts w:ascii="Arial" w:hAnsi="Arial" w:cs="Arial"/>
                          <w:sz w:val="20"/>
                        </w:rPr>
                        <w:t>[</w:t>
                      </w:r>
                      <w:r>
                        <w:rPr>
                          <w:rFonts w:ascii="Comic Sans MS" w:hAnsi="Comic Sans MS" w:cs="Arial"/>
                          <w:i/>
                          <w:sz w:val="16"/>
                          <w:szCs w:val="16"/>
                        </w:rPr>
                        <w:t>amount of foreign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 and [</w:t>
                      </w:r>
                      <w:r>
                        <w:rPr>
                          <w:rFonts w:ascii="Comic Sans MS" w:hAnsi="Comic Sans MS" w:cs="Arial"/>
                          <w:i/>
                          <w:sz w:val="16"/>
                          <w:szCs w:val="16"/>
                        </w:rPr>
                        <w:t>amount of local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w:t>
                      </w:r>
                      <w:r>
                        <w:rPr>
                          <w:rFonts w:ascii="Comic Sans MS" w:hAnsi="Comic Sans MS" w:cs="Arial"/>
                          <w:i/>
                          <w:sz w:val="16"/>
                          <w:szCs w:val="16"/>
                        </w:rPr>
                        <w:t xml:space="preserve"> </w:t>
                      </w:r>
                    </w:p>
                    <w:p w:rsidR="007E3F23" w:rsidRDefault="007E3F23" w:rsidP="007E3F23">
                      <w:pPr>
                        <w:jc w:val="both"/>
                        <w:rPr>
                          <w:rFonts w:ascii="Comic Sans MS" w:hAnsi="Comic Sans MS" w:cs="Arial"/>
                          <w:i/>
                          <w:sz w:val="16"/>
                          <w:szCs w:val="16"/>
                        </w:rPr>
                      </w:pPr>
                    </w:p>
                    <w:p w:rsidR="007E3F23" w:rsidRDefault="007E3F23" w:rsidP="007E3F23">
                      <w:pPr>
                        <w:jc w:val="both"/>
                        <w:rPr>
                          <w:rFonts w:ascii="Comic Sans MS" w:hAnsi="Comic Sans MS" w:cs="Arial"/>
                          <w:i/>
                          <w:sz w:val="16"/>
                          <w:szCs w:val="16"/>
                        </w:rPr>
                      </w:pPr>
                      <w:r>
                        <w:rPr>
                          <w:rFonts w:ascii="Arial" w:hAnsi="Arial" w:cs="Arial"/>
                          <w:sz w:val="20"/>
                        </w:rPr>
                        <w:t xml:space="preserve">For Lot No 2: </w:t>
                      </w:r>
                      <w:r w:rsidRPr="007E3F23">
                        <w:rPr>
                          <w:rFonts w:ascii="Arial" w:hAnsi="Arial" w:cs="Arial"/>
                          <w:sz w:val="20"/>
                        </w:rPr>
                        <w:t>Provision of Water Supply Facilities in</w:t>
                      </w:r>
                      <w:r>
                        <w:rPr>
                          <w:rFonts w:ascii="Arial" w:hAnsi="Arial" w:cs="Arial"/>
                          <w:sz w:val="20"/>
                        </w:rPr>
                        <w:t xml:space="preserve"> </w:t>
                      </w:r>
                      <w:r w:rsidR="00E301EE" w:rsidRPr="00E301EE">
                        <w:rPr>
                          <w:rFonts w:ascii="Arial" w:hAnsi="Arial" w:cs="Arial"/>
                          <w:sz w:val="20"/>
                        </w:rPr>
                        <w:t xml:space="preserve">Th. </w:t>
                      </w:r>
                      <w:proofErr w:type="spellStart"/>
                      <w:r w:rsidR="00E301EE" w:rsidRPr="00E301EE">
                        <w:rPr>
                          <w:rFonts w:ascii="Arial" w:hAnsi="Arial" w:cs="Arial"/>
                          <w:sz w:val="20"/>
                        </w:rPr>
                        <w:t>Guraidhoo</w:t>
                      </w:r>
                      <w:proofErr w:type="spellEnd"/>
                      <w:r w:rsidR="00E301EE" w:rsidRPr="00E301EE">
                        <w:rPr>
                          <w:rFonts w:ascii="Arial" w:hAnsi="Arial" w:cs="Arial"/>
                          <w:sz w:val="20"/>
                        </w:rPr>
                        <w:t xml:space="preserve"> </w:t>
                      </w:r>
                      <w:r>
                        <w:rPr>
                          <w:rFonts w:ascii="Arial" w:hAnsi="Arial" w:cs="Arial"/>
                          <w:sz w:val="20"/>
                        </w:rPr>
                        <w:t>[</w:t>
                      </w:r>
                      <w:r>
                        <w:rPr>
                          <w:rFonts w:ascii="Comic Sans MS" w:hAnsi="Comic Sans MS" w:cs="Arial"/>
                          <w:i/>
                          <w:sz w:val="16"/>
                          <w:szCs w:val="16"/>
                        </w:rPr>
                        <w:t>amount of foreign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 and [</w:t>
                      </w:r>
                      <w:r>
                        <w:rPr>
                          <w:rFonts w:ascii="Comic Sans MS" w:hAnsi="Comic Sans MS" w:cs="Arial"/>
                          <w:i/>
                          <w:sz w:val="16"/>
                          <w:szCs w:val="16"/>
                        </w:rPr>
                        <w:t>amount of local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w:t>
                      </w:r>
                    </w:p>
                    <w:p w:rsidR="00E301EE" w:rsidRDefault="00E301EE" w:rsidP="00E301EE">
                      <w:pPr>
                        <w:jc w:val="both"/>
                        <w:rPr>
                          <w:rFonts w:ascii="Comic Sans MS" w:hAnsi="Comic Sans MS" w:cs="Arial"/>
                          <w:i/>
                          <w:sz w:val="16"/>
                          <w:szCs w:val="16"/>
                        </w:rPr>
                      </w:pPr>
                    </w:p>
                    <w:p w:rsidR="00E301EE" w:rsidRDefault="00E301EE" w:rsidP="00E301EE">
                      <w:pPr>
                        <w:jc w:val="both"/>
                        <w:rPr>
                          <w:rFonts w:ascii="Comic Sans MS" w:hAnsi="Comic Sans MS" w:cs="Arial"/>
                          <w:i/>
                          <w:sz w:val="16"/>
                          <w:szCs w:val="16"/>
                        </w:rPr>
                      </w:pPr>
                      <w:r>
                        <w:rPr>
                          <w:rFonts w:ascii="Arial" w:hAnsi="Arial" w:cs="Arial"/>
                          <w:sz w:val="20"/>
                        </w:rPr>
                        <w:t xml:space="preserve">For Lot No 2: </w:t>
                      </w:r>
                      <w:r w:rsidRPr="007E3F23">
                        <w:rPr>
                          <w:rFonts w:ascii="Arial" w:hAnsi="Arial" w:cs="Arial"/>
                          <w:sz w:val="20"/>
                        </w:rPr>
                        <w:t>Provision of Water Supply Facilities in</w:t>
                      </w:r>
                      <w:r>
                        <w:rPr>
                          <w:rFonts w:ascii="Arial" w:hAnsi="Arial" w:cs="Arial"/>
                          <w:sz w:val="20"/>
                        </w:rPr>
                        <w:t xml:space="preserve"> </w:t>
                      </w:r>
                      <w:r w:rsidRPr="00E301EE">
                        <w:rPr>
                          <w:rFonts w:ascii="Arial" w:hAnsi="Arial" w:cs="Arial"/>
                          <w:sz w:val="20"/>
                        </w:rPr>
                        <w:t xml:space="preserve">Ga. </w:t>
                      </w:r>
                      <w:proofErr w:type="spellStart"/>
                      <w:r w:rsidRPr="00E301EE">
                        <w:rPr>
                          <w:rFonts w:ascii="Arial" w:hAnsi="Arial" w:cs="Arial"/>
                          <w:sz w:val="20"/>
                        </w:rPr>
                        <w:t>Villingili</w:t>
                      </w:r>
                      <w:proofErr w:type="spellEnd"/>
                      <w:r w:rsidRPr="00E301EE">
                        <w:rPr>
                          <w:rFonts w:ascii="Arial" w:hAnsi="Arial" w:cs="Arial"/>
                          <w:sz w:val="20"/>
                        </w:rPr>
                        <w:t xml:space="preserve"> </w:t>
                      </w:r>
                      <w:r>
                        <w:rPr>
                          <w:rFonts w:ascii="Arial" w:hAnsi="Arial" w:cs="Arial"/>
                          <w:sz w:val="20"/>
                        </w:rPr>
                        <w:t>[</w:t>
                      </w:r>
                      <w:r>
                        <w:rPr>
                          <w:rFonts w:ascii="Comic Sans MS" w:hAnsi="Comic Sans MS" w:cs="Arial"/>
                          <w:i/>
                          <w:sz w:val="16"/>
                          <w:szCs w:val="16"/>
                        </w:rPr>
                        <w:t>amount of foreign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 and [</w:t>
                      </w:r>
                      <w:r>
                        <w:rPr>
                          <w:rFonts w:ascii="Comic Sans MS" w:hAnsi="Comic Sans MS" w:cs="Arial"/>
                          <w:i/>
                          <w:sz w:val="16"/>
                          <w:szCs w:val="16"/>
                        </w:rPr>
                        <w:t>amount of local currency in words</w:t>
                      </w:r>
                      <w:r>
                        <w:rPr>
                          <w:rFonts w:ascii="Arial" w:hAnsi="Arial" w:cs="Arial"/>
                          <w:sz w:val="20"/>
                        </w:rPr>
                        <w:t>], [</w:t>
                      </w:r>
                      <w:r>
                        <w:rPr>
                          <w:rFonts w:ascii="Comic Sans MS" w:hAnsi="Comic Sans MS" w:cs="Arial"/>
                          <w:i/>
                          <w:sz w:val="16"/>
                          <w:szCs w:val="16"/>
                        </w:rPr>
                        <w:t>amount in figures</w:t>
                      </w:r>
                      <w:r>
                        <w:rPr>
                          <w:rFonts w:ascii="Arial" w:hAnsi="Arial" w:cs="Arial"/>
                          <w:sz w:val="20"/>
                        </w:rPr>
                        <w:t>]</w:t>
                      </w:r>
                    </w:p>
                    <w:p w:rsidR="007E3F23" w:rsidRPr="00E301EE" w:rsidRDefault="007E3F23" w:rsidP="007E3F23">
                      <w:pPr>
                        <w:jc w:val="both"/>
                        <w:rPr>
                          <w:rFonts w:ascii="Comic Sans MS" w:hAnsi="Comic Sans MS" w:cs="Arial"/>
                          <w:b/>
                          <w:bCs/>
                          <w:i/>
                          <w:sz w:val="16"/>
                          <w:szCs w:val="16"/>
                        </w:rPr>
                      </w:pPr>
                    </w:p>
                    <w:p w:rsidR="007E3F23" w:rsidRDefault="007E3F23" w:rsidP="007E3F23">
                      <w:pPr>
                        <w:jc w:val="both"/>
                        <w:rPr>
                          <w:rFonts w:ascii="Comic Sans MS" w:hAnsi="Comic Sans MS" w:cs="Arial"/>
                          <w:i/>
                          <w:sz w:val="16"/>
                          <w:szCs w:val="16"/>
                        </w:rPr>
                      </w:pPr>
                      <w:r>
                        <w:rPr>
                          <w:rFonts w:ascii="Comic Sans MS" w:hAnsi="Comic Sans MS" w:cs="Arial"/>
                          <w:i/>
                          <w:sz w:val="16"/>
                          <w:szCs w:val="16"/>
                        </w:rPr>
                        <w:t>The total bid price from the Summary of Bill of Quantities should be entered by the bidder inside this box. Absence of the total bid price in the Letter of Bid may result in the rejection of the bid.</w:t>
                      </w:r>
                    </w:p>
                    <w:p w:rsidR="007E3F23" w:rsidRDefault="007E3F23" w:rsidP="007E3F23">
                      <w:pPr>
                        <w:jc w:val="both"/>
                      </w:pPr>
                    </w:p>
                    <w:p w:rsidR="007E3F23" w:rsidRDefault="007E3F23" w:rsidP="007E3F23"/>
                  </w:txbxContent>
                </v:textbox>
                <w10:wrap type="square"/>
              </v:shape>
            </w:pict>
          </mc:Fallback>
        </mc:AlternateContent>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tabs>
          <w:tab w:val="left" w:pos="900"/>
          <w:tab w:val="right" w:pos="9000"/>
        </w:tabs>
        <w:spacing w:before="60" w:after="60"/>
        <w:ind w:left="360" w:right="288"/>
        <w:jc w:val="both"/>
        <w:rPr>
          <w:rFonts w:ascii="Arial" w:hAnsi="Arial" w:cs="Arial"/>
          <w:sz w:val="20"/>
        </w:rPr>
      </w:pPr>
    </w:p>
    <w:p w:rsidR="00E301EE" w:rsidRDefault="00E301EE" w:rsidP="007E3F23">
      <w:pPr>
        <w:tabs>
          <w:tab w:val="left" w:pos="900"/>
          <w:tab w:val="right" w:pos="9000"/>
        </w:tabs>
        <w:spacing w:before="60" w:after="60"/>
        <w:ind w:left="360" w:right="288"/>
        <w:jc w:val="both"/>
        <w:rPr>
          <w:rFonts w:ascii="Arial" w:hAnsi="Arial" w:cs="Arial"/>
          <w:sz w:val="20"/>
        </w:rPr>
      </w:pPr>
    </w:p>
    <w:p w:rsidR="00E301EE" w:rsidRDefault="00E301EE" w:rsidP="007E3F23">
      <w:pPr>
        <w:tabs>
          <w:tab w:val="left" w:pos="900"/>
          <w:tab w:val="right" w:pos="9000"/>
        </w:tabs>
        <w:spacing w:before="60" w:after="60"/>
        <w:ind w:left="360" w:right="288"/>
        <w:jc w:val="both"/>
        <w:rPr>
          <w:rFonts w:ascii="Arial" w:hAnsi="Arial" w:cs="Arial"/>
          <w:sz w:val="20"/>
        </w:rPr>
      </w:pPr>
    </w:p>
    <w:p w:rsidR="00E301EE" w:rsidRDefault="00E301EE" w:rsidP="007E3F23">
      <w:pPr>
        <w:tabs>
          <w:tab w:val="left" w:pos="900"/>
          <w:tab w:val="right" w:pos="9000"/>
        </w:tabs>
        <w:spacing w:before="60" w:after="60"/>
        <w:ind w:left="360" w:right="288"/>
        <w:jc w:val="both"/>
        <w:rPr>
          <w:rFonts w:ascii="Arial" w:hAnsi="Arial" w:cs="Arial"/>
          <w:sz w:val="20"/>
        </w:rPr>
      </w:pP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The discounts offered and the methodology for their application are: _____________________</w:t>
      </w:r>
      <w:r>
        <w:rPr>
          <w:rFonts w:ascii="Arial" w:hAnsi="Arial" w:cs="Arial"/>
          <w:sz w:val="20"/>
        </w:rPr>
        <w:tab/>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Our bid shall be valid for a period of  . . . . . days from the date fixed for the bid submission deadline in accordance with the Bidding Documents, and it shall remain binding upon us and may be accepted at any time before the expiration of that period.</w:t>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If our bid is accepted, we commit to obtain a performance security in accordance with the Bidding Documents.</w:t>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w:t>
      </w:r>
      <w:proofErr w:type="gramStart"/>
      <w:r>
        <w:rPr>
          <w:rFonts w:ascii="Arial" w:hAnsi="Arial" w:cs="Arial"/>
          <w:sz w:val="20"/>
        </w:rPr>
        <w:t>firm, including any Subcontractors or Suppliers for any part of the Contract, have</w:t>
      </w:r>
      <w:proofErr w:type="gramEnd"/>
      <w:r>
        <w:rPr>
          <w:rFonts w:ascii="Arial" w:hAnsi="Arial" w:cs="Arial"/>
          <w:sz w:val="20"/>
        </w:rPr>
        <w:t xml:space="preserve"> nationalities from eligible countries in accordance with ITB 4.2. </w:t>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lastRenderedPageBreak/>
        <w:t xml:space="preserve">We, including any Subcontractors or Suppliers for any part of the contract, do not have any conflict of interest in accordance with ITB 4.3. </w:t>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are not participating, as a Bidder in more than one Bid in this bidding process in accordance with ITB 4.3(e), other than alternative offers submitted in accordance with ITB 13.</w:t>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Our firm, its affiliates or subsidiaries, including any Subcontractors or Suppliers for any part of the contract, has not been declared ineligible by OFID, under the Employer’s country laws or official regulations or by an act of compliance with a decision of the United Nations Security Council.</w:t>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are not a government-owned enterprise] / [We are a government-owned enterprise but meet the requirements of ITB 4.5].</w:t>
      </w:r>
      <w:r>
        <w:rPr>
          <w:rStyle w:val="FootnoteReference"/>
          <w:rFonts w:ascii="Arial" w:hAnsi="Arial" w:cs="Arial"/>
          <w:b/>
          <w:sz w:val="20"/>
        </w:rPr>
        <w:footnoteReference w:id="1"/>
      </w:r>
      <w:r>
        <w:rPr>
          <w:rFonts w:ascii="Arial" w:hAnsi="Arial" w:cs="Arial"/>
          <w:sz w:val="20"/>
        </w:rPr>
        <w:t xml:space="preserve"> </w:t>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paid, or will pay the following commissions, gratuities, or fees with respect to the bidding process or execution of the Contract:</w:t>
      </w:r>
      <w:r>
        <w:rPr>
          <w:rStyle w:val="FootnoteReference"/>
          <w:rFonts w:ascii="Arial" w:hAnsi="Arial" w:cs="Arial"/>
          <w:b/>
          <w:sz w:val="20"/>
        </w:rPr>
        <w:footnoteReference w:id="2"/>
      </w:r>
      <w:r>
        <w:rPr>
          <w:rFonts w:ascii="Arial" w:hAnsi="Arial" w:cs="Arial"/>
          <w:sz w:val="20"/>
        </w:rPr>
        <w:t xml:space="preserve"> </w:t>
      </w:r>
    </w:p>
    <w:p w:rsidR="007E3F23" w:rsidRDefault="007E3F23" w:rsidP="007E3F23">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520"/>
        <w:gridCol w:w="2070"/>
        <w:gridCol w:w="1350"/>
      </w:tblGrid>
      <w:tr w:rsidR="007E3F23" w:rsidTr="007E3F23">
        <w:tc>
          <w:tcPr>
            <w:tcW w:w="2520" w:type="dxa"/>
            <w:tcBorders>
              <w:top w:val="nil"/>
              <w:left w:val="nil"/>
              <w:bottom w:val="nil"/>
              <w:right w:val="nil"/>
            </w:tcBorders>
            <w:hideMark/>
          </w:tcPr>
          <w:p w:rsidR="007E3F23" w:rsidRDefault="007E3F2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Name of Recipient</w:t>
            </w:r>
          </w:p>
        </w:tc>
        <w:tc>
          <w:tcPr>
            <w:tcW w:w="2520" w:type="dxa"/>
            <w:tcBorders>
              <w:top w:val="nil"/>
              <w:left w:val="nil"/>
              <w:bottom w:val="nil"/>
              <w:right w:val="nil"/>
            </w:tcBorders>
            <w:hideMark/>
          </w:tcPr>
          <w:p w:rsidR="007E3F23" w:rsidRDefault="007E3F2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Address</w:t>
            </w:r>
          </w:p>
        </w:tc>
        <w:tc>
          <w:tcPr>
            <w:tcW w:w="2070" w:type="dxa"/>
            <w:tcBorders>
              <w:top w:val="nil"/>
              <w:left w:val="nil"/>
              <w:bottom w:val="nil"/>
              <w:right w:val="nil"/>
            </w:tcBorders>
            <w:hideMark/>
          </w:tcPr>
          <w:p w:rsidR="007E3F23" w:rsidRDefault="007E3F2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Reason</w:t>
            </w:r>
          </w:p>
        </w:tc>
        <w:tc>
          <w:tcPr>
            <w:tcW w:w="1350" w:type="dxa"/>
            <w:tcBorders>
              <w:top w:val="nil"/>
              <w:left w:val="nil"/>
              <w:bottom w:val="nil"/>
              <w:right w:val="nil"/>
            </w:tcBorders>
            <w:hideMark/>
          </w:tcPr>
          <w:p w:rsidR="007E3F23" w:rsidRDefault="007E3F2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Amount</w:t>
            </w:r>
          </w:p>
        </w:tc>
      </w:tr>
      <w:tr w:rsidR="007E3F23" w:rsidTr="007E3F23">
        <w:trPr>
          <w:trHeight w:val="144"/>
        </w:trPr>
        <w:tc>
          <w:tcPr>
            <w:tcW w:w="2520" w:type="dxa"/>
            <w:tcBorders>
              <w:top w:val="nil"/>
              <w:left w:val="nil"/>
              <w:bottom w:val="nil"/>
              <w:right w:val="nil"/>
            </w:tcBorders>
            <w:hideMark/>
          </w:tcPr>
          <w:p w:rsidR="007E3F23" w:rsidRDefault="007E3F23">
            <w:pPr>
              <w:pStyle w:val="Header"/>
              <w:pBdr>
                <w:bottom w:val="none" w:sz="0" w:space="0" w:color="auto"/>
              </w:pBd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hideMark/>
          </w:tcPr>
          <w:p w:rsidR="007E3F23" w:rsidRDefault="007E3F23">
            <w:pPr>
              <w:pStyle w:val="Header"/>
              <w:pBdr>
                <w:bottom w:val="none" w:sz="0" w:space="0" w:color="auto"/>
              </w:pBd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hideMark/>
          </w:tcPr>
          <w:p w:rsidR="007E3F23" w:rsidRDefault="007E3F23">
            <w:pPr>
              <w:pStyle w:val="Header"/>
              <w:pBdr>
                <w:bottom w:val="none" w:sz="0" w:space="0" w:color="auto"/>
              </w:pBdr>
              <w:tabs>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hideMark/>
          </w:tcPr>
          <w:p w:rsidR="007E3F23" w:rsidRDefault="007E3F23">
            <w:pPr>
              <w:pStyle w:val="Header"/>
              <w:pBdr>
                <w:bottom w:val="none" w:sz="0" w:space="0" w:color="auto"/>
              </w:pBdr>
              <w:tabs>
                <w:tab w:val="right" w:leader="dot" w:pos="1242"/>
              </w:tabs>
              <w:spacing w:before="120"/>
              <w:rPr>
                <w:rFonts w:cs="Arial"/>
                <w:lang w:val="en-US"/>
              </w:rPr>
            </w:pPr>
            <w:r>
              <w:rPr>
                <w:rFonts w:cs="Arial"/>
                <w:lang w:val="en-US"/>
              </w:rPr>
              <w:tab/>
            </w:r>
          </w:p>
        </w:tc>
      </w:tr>
      <w:tr w:rsidR="007E3F23" w:rsidTr="007E3F23">
        <w:trPr>
          <w:trHeight w:val="144"/>
        </w:trPr>
        <w:tc>
          <w:tcPr>
            <w:tcW w:w="2520" w:type="dxa"/>
            <w:tcBorders>
              <w:top w:val="nil"/>
              <w:left w:val="nil"/>
              <w:bottom w:val="nil"/>
              <w:right w:val="nil"/>
            </w:tcBorders>
            <w:hideMark/>
          </w:tcPr>
          <w:p w:rsidR="007E3F23" w:rsidRDefault="007E3F23">
            <w:pPr>
              <w:pStyle w:val="Header"/>
              <w:pBdr>
                <w:bottom w:val="none" w:sz="0" w:space="0" w:color="auto"/>
              </w:pBd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hideMark/>
          </w:tcPr>
          <w:p w:rsidR="007E3F23" w:rsidRDefault="007E3F23">
            <w:pPr>
              <w:pStyle w:val="Header"/>
              <w:pBdr>
                <w:bottom w:val="none" w:sz="0" w:space="0" w:color="auto"/>
              </w:pBd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hideMark/>
          </w:tcPr>
          <w:p w:rsidR="007E3F23" w:rsidRDefault="007E3F23">
            <w:pPr>
              <w:pStyle w:val="Header"/>
              <w:pBdr>
                <w:bottom w:val="none" w:sz="0" w:space="0" w:color="auto"/>
              </w:pBdr>
              <w:tabs>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hideMark/>
          </w:tcPr>
          <w:p w:rsidR="007E3F23" w:rsidRDefault="007E3F23">
            <w:pPr>
              <w:pStyle w:val="Header"/>
              <w:pBdr>
                <w:bottom w:val="none" w:sz="0" w:space="0" w:color="auto"/>
              </w:pBdr>
              <w:tabs>
                <w:tab w:val="right" w:leader="dot" w:pos="1242"/>
              </w:tabs>
              <w:spacing w:before="120"/>
              <w:rPr>
                <w:rFonts w:cs="Arial"/>
                <w:lang w:val="en-US"/>
              </w:rPr>
            </w:pPr>
            <w:r>
              <w:rPr>
                <w:rFonts w:cs="Arial"/>
                <w:lang w:val="en-US"/>
              </w:rPr>
              <w:tab/>
              <w:t>.</w:t>
            </w:r>
          </w:p>
        </w:tc>
      </w:tr>
    </w:tbl>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you are not bound to accept the lowest evaluated bid or any other bid that you may receive.</w:t>
      </w:r>
    </w:p>
    <w:p w:rsidR="007E3F23" w:rsidRDefault="007E3F23" w:rsidP="007E3F23">
      <w:pPr>
        <w:tabs>
          <w:tab w:val="left" w:pos="900"/>
          <w:tab w:val="right" w:pos="9000"/>
        </w:tabs>
        <w:spacing w:before="60" w:after="60"/>
        <w:ind w:right="288"/>
        <w:jc w:val="both"/>
        <w:rPr>
          <w:rFonts w:ascii="Helv" w:hAnsi="Helv" w:cs="Helv"/>
          <w:color w:val="000000"/>
          <w:sz w:val="20"/>
          <w:szCs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color w:val="000000"/>
          <w:sz w:val="20"/>
          <w:szCs w:val="20"/>
        </w:rPr>
        <w:t xml:space="preserve">We agree to permit </w:t>
      </w:r>
      <w:r>
        <w:rPr>
          <w:rFonts w:ascii="Arial" w:hAnsi="Arial" w:cs="Arial"/>
          <w:sz w:val="20"/>
        </w:rPr>
        <w:t xml:space="preserve">OFID </w:t>
      </w:r>
      <w:r>
        <w:rPr>
          <w:rFonts w:ascii="Arial" w:hAnsi="Arial" w:cs="Arial"/>
          <w:color w:val="000000"/>
          <w:sz w:val="20"/>
          <w:szCs w:val="20"/>
        </w:rPr>
        <w:t>or its representative to inspect our accounts and records and other documents relating to the bid submission and to have them audited by auditors appointed by OFID.</w:t>
      </w:r>
    </w:p>
    <w:p w:rsidR="007E3F23" w:rsidRDefault="007E3F23" w:rsidP="007E3F23">
      <w:pPr>
        <w:tabs>
          <w:tab w:val="left" w:pos="900"/>
          <w:tab w:val="right" w:pos="9000"/>
        </w:tabs>
        <w:spacing w:before="60" w:after="60"/>
        <w:ind w:left="900" w:right="288"/>
        <w:jc w:val="both"/>
        <w:rPr>
          <w:rFonts w:ascii="Arial" w:hAnsi="Arial" w:cs="Arial"/>
          <w:sz w:val="20"/>
        </w:rPr>
      </w:pPr>
    </w:p>
    <w:p w:rsidR="007E3F23" w:rsidRDefault="007E3F23" w:rsidP="007E3F23">
      <w:pPr>
        <w:numPr>
          <w:ilvl w:val="0"/>
          <w:numId w:val="1"/>
        </w:numPr>
        <w:tabs>
          <w:tab w:val="clear" w:pos="420"/>
          <w:tab w:val="left" w:pos="900"/>
          <w:tab w:val="right" w:pos="9000"/>
        </w:tabs>
        <w:spacing w:before="60" w:after="60"/>
        <w:ind w:left="900" w:right="288" w:hanging="540"/>
        <w:jc w:val="both"/>
        <w:rPr>
          <w:rFonts w:ascii="Arial" w:hAnsi="Arial" w:cs="Arial"/>
          <w:sz w:val="20"/>
          <w:szCs w:val="20"/>
        </w:rPr>
      </w:pPr>
      <w:r>
        <w:rPr>
          <w:rFonts w:ascii="Arial" w:hAnsi="Arial" w:cs="Arial"/>
          <w:color w:val="000000"/>
          <w:sz w:val="20"/>
          <w:szCs w:val="20"/>
        </w:rPr>
        <w:t>If</w:t>
      </w:r>
      <w:r>
        <w:rPr>
          <w:rFonts w:ascii="Arial" w:hAnsi="Arial" w:cs="Arial"/>
          <w:sz w:val="20"/>
          <w:szCs w:val="20"/>
        </w:rPr>
        <w:t xml:space="preserve"> our Bid is accepted, we commit to mobilizing key equipment and personnel in accordance with the requirements set forth in Section V (Employer’s Requirements) and our technical proposal, or as otherwise agreed with the Employer. </w:t>
      </w:r>
    </w:p>
    <w:p w:rsidR="007E3F23" w:rsidRDefault="007E3F23" w:rsidP="007E3F23">
      <w:pPr>
        <w:tabs>
          <w:tab w:val="left" w:pos="900"/>
          <w:tab w:val="right" w:pos="9000"/>
        </w:tabs>
        <w:spacing w:before="60" w:after="60"/>
        <w:ind w:left="900" w:right="288"/>
        <w:jc w:val="both"/>
        <w:rPr>
          <w:rFonts w:ascii="Arial" w:hAnsi="Arial" w:cs="Arial"/>
          <w:sz w:val="20"/>
        </w:rPr>
      </w:pPr>
    </w:p>
    <w:p w:rsidR="007E3F23" w:rsidRDefault="007E3F23" w:rsidP="007E3F23">
      <w:pPr>
        <w:tabs>
          <w:tab w:val="left" w:pos="900"/>
          <w:tab w:val="right" w:pos="9000"/>
        </w:tabs>
        <w:spacing w:before="60" w:after="60"/>
        <w:ind w:left="360" w:right="288"/>
        <w:jc w:val="both"/>
        <w:rPr>
          <w:rFonts w:ascii="Arial" w:hAnsi="Arial" w:cs="Arial"/>
          <w:sz w:val="20"/>
        </w:rPr>
      </w:pPr>
    </w:p>
    <w:p w:rsidR="007E3F23" w:rsidRDefault="007E3F23" w:rsidP="007E3F23">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7E3F23" w:rsidRDefault="007E3F23" w:rsidP="007E3F23">
      <w:pPr>
        <w:tabs>
          <w:tab w:val="right" w:leader="dot" w:pos="9000"/>
        </w:tabs>
        <w:spacing w:after="120"/>
        <w:ind w:left="360"/>
        <w:rPr>
          <w:rFonts w:ascii="Arial" w:hAnsi="Arial" w:cs="Arial"/>
          <w:sz w:val="20"/>
        </w:rPr>
      </w:pPr>
    </w:p>
    <w:p w:rsidR="007E3F23" w:rsidRDefault="007E3F23" w:rsidP="007E3F23">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7E3F23" w:rsidRDefault="007E3F23" w:rsidP="007E3F23">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7E3F23" w:rsidRDefault="007E3F23" w:rsidP="007E3F23">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7E3F23" w:rsidRDefault="007E3F23" w:rsidP="007E3F23">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7E3F23" w:rsidRDefault="007E3F23" w:rsidP="007E3F23">
      <w:pPr>
        <w:tabs>
          <w:tab w:val="right" w:leader="dot" w:pos="9000"/>
        </w:tabs>
        <w:spacing w:before="60" w:after="60"/>
        <w:ind w:left="360" w:right="288"/>
        <w:rPr>
          <w:rFonts w:ascii="Arial" w:hAnsi="Arial" w:cs="Arial"/>
          <w:sz w:val="20"/>
        </w:rPr>
      </w:pPr>
      <w:r>
        <w:rPr>
          <w:rFonts w:ascii="Arial" w:hAnsi="Arial" w:cs="Arial"/>
          <w:sz w:val="20"/>
        </w:rPr>
        <w:t>Date</w:t>
      </w:r>
      <w:r>
        <w:t xml:space="preserve"> </w:t>
      </w:r>
      <w:r>
        <w:tab/>
      </w:r>
      <w:r>
        <w:tab/>
      </w:r>
    </w:p>
    <w:p w:rsidR="007E3F23" w:rsidRDefault="007E3F23"/>
    <w:sectPr w:rsidR="007E3F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10E" w:rsidRDefault="00DA510E" w:rsidP="007E3F23">
      <w:r>
        <w:separator/>
      </w:r>
    </w:p>
  </w:endnote>
  <w:endnote w:type="continuationSeparator" w:id="0">
    <w:p w:rsidR="00DA510E" w:rsidRDefault="00DA510E" w:rsidP="007E3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10E" w:rsidRDefault="00DA510E" w:rsidP="007E3F23">
      <w:r>
        <w:separator/>
      </w:r>
    </w:p>
  </w:footnote>
  <w:footnote w:type="continuationSeparator" w:id="0">
    <w:p w:rsidR="00DA510E" w:rsidRDefault="00DA510E" w:rsidP="007E3F23">
      <w:r>
        <w:continuationSeparator/>
      </w:r>
    </w:p>
  </w:footnote>
  <w:footnote w:id="1">
    <w:p w:rsidR="007E3F23" w:rsidRDefault="007E3F23" w:rsidP="007E3F23">
      <w:pPr>
        <w:pStyle w:val="FootnoteText"/>
        <w:tabs>
          <w:tab w:val="left" w:pos="360"/>
        </w:tabs>
        <w:rPr>
          <w:sz w:val="16"/>
          <w:szCs w:val="16"/>
          <w:lang w:val="en-US"/>
        </w:rPr>
      </w:pPr>
      <w:r>
        <w:rPr>
          <w:rStyle w:val="FootnoteReference"/>
          <w:b/>
        </w:rPr>
        <w:footnoteRef/>
      </w:r>
      <w:r>
        <w:t xml:space="preserve"> </w:t>
      </w:r>
      <w:r>
        <w:tab/>
      </w:r>
      <w:r>
        <w:rPr>
          <w:bCs/>
          <w:iCs/>
          <w:sz w:val="16"/>
          <w:szCs w:val="16"/>
          <w:lang w:val="en-US"/>
        </w:rPr>
        <w:t>Use one of the two options as appropriate.</w:t>
      </w:r>
    </w:p>
  </w:footnote>
  <w:footnote w:id="2">
    <w:p w:rsidR="007E3F23" w:rsidRDefault="007E3F23" w:rsidP="007E3F23">
      <w:pPr>
        <w:pStyle w:val="FootnoteText"/>
        <w:tabs>
          <w:tab w:val="left" w:pos="360"/>
        </w:tabs>
        <w:rPr>
          <w:lang w:val="en-US"/>
        </w:rPr>
      </w:pPr>
      <w:r>
        <w:rPr>
          <w:rStyle w:val="FootnoteReference"/>
          <w:b/>
        </w:rPr>
        <w:footnoteRef/>
      </w:r>
      <w:r>
        <w:t xml:space="preserve"> </w:t>
      </w:r>
      <w:r>
        <w:tab/>
      </w:r>
      <w:r>
        <w:rPr>
          <w:bCs/>
          <w:iCs/>
          <w:sz w:val="16"/>
          <w:szCs w:val="16"/>
          <w:lang w:val="en-US"/>
        </w:rPr>
        <w:t>If none has been paid or is to be paid, indicate “None”.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F48E9"/>
    <w:multiLevelType w:val="singleLevel"/>
    <w:tmpl w:val="CF4E6164"/>
    <w:lvl w:ilvl="0">
      <w:start w:val="1"/>
      <w:numFmt w:val="lowerLetter"/>
      <w:lvlText w:val="(%1)"/>
      <w:lvlJc w:val="left"/>
      <w:pPr>
        <w:tabs>
          <w:tab w:val="num" w:pos="420"/>
        </w:tabs>
        <w:ind w:left="420" w:hanging="42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F23"/>
    <w:rsid w:val="001C4276"/>
    <w:rsid w:val="00506E0F"/>
    <w:rsid w:val="007E3F23"/>
    <w:rsid w:val="00DA116C"/>
    <w:rsid w:val="00DA510E"/>
    <w:rsid w:val="00E301EE"/>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F23"/>
    <w:pPr>
      <w:spacing w:after="0" w:line="240" w:lineRule="auto"/>
    </w:pPr>
    <w:rPr>
      <w:rFonts w:ascii="Times New Roman" w:eastAsia="Times New Roman" w:hAnsi="Times New Roman"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7E3F23"/>
    <w:pPr>
      <w:jc w:val="both"/>
    </w:pPr>
    <w:rPr>
      <w:rFonts w:ascii="Arial" w:hAnsi="Arial"/>
      <w:sz w:val="20"/>
      <w:szCs w:val="20"/>
      <w:lang w:val="es-ES_tradnl"/>
    </w:rPr>
  </w:style>
  <w:style w:type="character" w:customStyle="1" w:styleId="FootnoteTextChar">
    <w:name w:val="Footnote Text Char"/>
    <w:basedOn w:val="DefaultParagraphFont"/>
    <w:link w:val="FootnoteText"/>
    <w:semiHidden/>
    <w:rsid w:val="007E3F23"/>
    <w:rPr>
      <w:rFonts w:ascii="Arial" w:eastAsia="Times New Roman" w:hAnsi="Arial" w:cs="Times New Roman"/>
      <w:sz w:val="20"/>
      <w:szCs w:val="20"/>
      <w:lang w:val="es-ES_tradnl" w:bidi="ar-SA"/>
    </w:rPr>
  </w:style>
  <w:style w:type="paragraph" w:styleId="Header">
    <w:name w:val="header"/>
    <w:basedOn w:val="Normal"/>
    <w:link w:val="HeaderChar"/>
    <w:uiPriority w:val="99"/>
    <w:unhideWhenUsed/>
    <w:rsid w:val="007E3F23"/>
    <w:pPr>
      <w:pBdr>
        <w:bottom w:val="single" w:sz="4" w:space="1" w:color="000000"/>
      </w:pBdr>
      <w:tabs>
        <w:tab w:val="right" w:pos="9000"/>
      </w:tabs>
      <w:jc w:val="both"/>
    </w:pPr>
    <w:rPr>
      <w:rFonts w:ascii="Arial" w:hAnsi="Arial"/>
      <w:sz w:val="20"/>
      <w:szCs w:val="20"/>
      <w:lang w:val="es-ES_tradnl"/>
    </w:rPr>
  </w:style>
  <w:style w:type="character" w:customStyle="1" w:styleId="HeaderChar">
    <w:name w:val="Header Char"/>
    <w:basedOn w:val="DefaultParagraphFont"/>
    <w:link w:val="Header"/>
    <w:uiPriority w:val="99"/>
    <w:rsid w:val="007E3F23"/>
    <w:rPr>
      <w:rFonts w:ascii="Arial" w:eastAsia="Times New Roman" w:hAnsi="Arial" w:cs="Times New Roman"/>
      <w:sz w:val="20"/>
      <w:szCs w:val="20"/>
      <w:lang w:val="es-ES_tradnl" w:bidi="ar-SA"/>
    </w:rPr>
  </w:style>
  <w:style w:type="paragraph" w:customStyle="1" w:styleId="SectionVHeader">
    <w:name w:val="Section V. Header"/>
    <w:basedOn w:val="Normal"/>
    <w:uiPriority w:val="99"/>
    <w:rsid w:val="007E3F23"/>
    <w:pPr>
      <w:jc w:val="center"/>
    </w:pPr>
    <w:rPr>
      <w:rFonts w:ascii="Arial" w:hAnsi="Arial"/>
      <w:b/>
      <w:sz w:val="36"/>
      <w:szCs w:val="20"/>
      <w:lang w:val="es-ES_tradnl"/>
    </w:rPr>
  </w:style>
  <w:style w:type="character" w:styleId="FootnoteReference">
    <w:name w:val="footnote reference"/>
    <w:semiHidden/>
    <w:unhideWhenUsed/>
    <w:rsid w:val="007E3F2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F23"/>
    <w:pPr>
      <w:spacing w:after="0" w:line="240" w:lineRule="auto"/>
    </w:pPr>
    <w:rPr>
      <w:rFonts w:ascii="Times New Roman" w:eastAsia="Times New Roman" w:hAnsi="Times New Roman"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7E3F23"/>
    <w:pPr>
      <w:jc w:val="both"/>
    </w:pPr>
    <w:rPr>
      <w:rFonts w:ascii="Arial" w:hAnsi="Arial"/>
      <w:sz w:val="20"/>
      <w:szCs w:val="20"/>
      <w:lang w:val="es-ES_tradnl"/>
    </w:rPr>
  </w:style>
  <w:style w:type="character" w:customStyle="1" w:styleId="FootnoteTextChar">
    <w:name w:val="Footnote Text Char"/>
    <w:basedOn w:val="DefaultParagraphFont"/>
    <w:link w:val="FootnoteText"/>
    <w:semiHidden/>
    <w:rsid w:val="007E3F23"/>
    <w:rPr>
      <w:rFonts w:ascii="Arial" w:eastAsia="Times New Roman" w:hAnsi="Arial" w:cs="Times New Roman"/>
      <w:sz w:val="20"/>
      <w:szCs w:val="20"/>
      <w:lang w:val="es-ES_tradnl" w:bidi="ar-SA"/>
    </w:rPr>
  </w:style>
  <w:style w:type="paragraph" w:styleId="Header">
    <w:name w:val="header"/>
    <w:basedOn w:val="Normal"/>
    <w:link w:val="HeaderChar"/>
    <w:uiPriority w:val="99"/>
    <w:unhideWhenUsed/>
    <w:rsid w:val="007E3F23"/>
    <w:pPr>
      <w:pBdr>
        <w:bottom w:val="single" w:sz="4" w:space="1" w:color="000000"/>
      </w:pBdr>
      <w:tabs>
        <w:tab w:val="right" w:pos="9000"/>
      </w:tabs>
      <w:jc w:val="both"/>
    </w:pPr>
    <w:rPr>
      <w:rFonts w:ascii="Arial" w:hAnsi="Arial"/>
      <w:sz w:val="20"/>
      <w:szCs w:val="20"/>
      <w:lang w:val="es-ES_tradnl"/>
    </w:rPr>
  </w:style>
  <w:style w:type="character" w:customStyle="1" w:styleId="HeaderChar">
    <w:name w:val="Header Char"/>
    <w:basedOn w:val="DefaultParagraphFont"/>
    <w:link w:val="Header"/>
    <w:uiPriority w:val="99"/>
    <w:rsid w:val="007E3F23"/>
    <w:rPr>
      <w:rFonts w:ascii="Arial" w:eastAsia="Times New Roman" w:hAnsi="Arial" w:cs="Times New Roman"/>
      <w:sz w:val="20"/>
      <w:szCs w:val="20"/>
      <w:lang w:val="es-ES_tradnl" w:bidi="ar-SA"/>
    </w:rPr>
  </w:style>
  <w:style w:type="paragraph" w:customStyle="1" w:styleId="SectionVHeader">
    <w:name w:val="Section V. Header"/>
    <w:basedOn w:val="Normal"/>
    <w:uiPriority w:val="99"/>
    <w:rsid w:val="007E3F23"/>
    <w:pPr>
      <w:jc w:val="center"/>
    </w:pPr>
    <w:rPr>
      <w:rFonts w:ascii="Arial" w:hAnsi="Arial"/>
      <w:b/>
      <w:sz w:val="36"/>
      <w:szCs w:val="20"/>
      <w:lang w:val="es-ES_tradnl"/>
    </w:rPr>
  </w:style>
  <w:style w:type="character" w:styleId="FootnoteReference">
    <w:name w:val="footnote reference"/>
    <w:semiHidden/>
    <w:unhideWhenUsed/>
    <w:rsid w:val="007E3F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92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c:creator>
  <cp:lastModifiedBy>SS</cp:lastModifiedBy>
  <cp:revision>4</cp:revision>
  <dcterms:created xsi:type="dcterms:W3CDTF">2016-09-28T04:26:00Z</dcterms:created>
  <dcterms:modified xsi:type="dcterms:W3CDTF">2016-09-28T04:27:00Z</dcterms:modified>
</cp:coreProperties>
</file>