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07A22F7E"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proofErr w:type="spellStart"/>
      <w:r w:rsidR="00600F84">
        <w:rPr>
          <w:rFonts w:ascii="Times New Roman" w:hAnsi="Times New Roman" w:cs="Times New Roman"/>
          <w:b/>
          <w:bCs/>
          <w:sz w:val="28"/>
          <w:szCs w:val="28"/>
        </w:rPr>
        <w:t>Gdh</w:t>
      </w:r>
      <w:proofErr w:type="spellEnd"/>
      <w:r w:rsidR="00600F84">
        <w:rPr>
          <w:rFonts w:ascii="Times New Roman" w:hAnsi="Times New Roman" w:cs="Times New Roman"/>
          <w:b/>
          <w:bCs/>
          <w:sz w:val="28"/>
          <w:szCs w:val="28"/>
        </w:rPr>
        <w:t>. Nadella</w:t>
      </w:r>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0D9A6E40"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-02</w:t>
      </w:r>
      <w:r w:rsidR="00600F84">
        <w:rPr>
          <w:rFonts w:ascii="Times New Roman" w:hAnsi="Times New Roman" w:cs="Times New Roman"/>
          <w:b/>
          <w:bCs/>
          <w:color w:val="000000" w:themeColor="text1"/>
          <w:sz w:val="28"/>
          <w:szCs w:val="28"/>
        </w:rPr>
        <w:t>9</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600F84">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600F84">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600F84">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600F84">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600F84">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600F84">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600F84">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600F84">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600F84">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600F84">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600F84">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600F84">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600F84">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600F84">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1" w:name="_Toc63778761"/>
      <w:r w:rsidRPr="000A1F71">
        <w:lastRenderedPageBreak/>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2" w:name="_Toc63778762"/>
      <w:r w:rsidRPr="000A1F71">
        <w:lastRenderedPageBreak/>
        <w:t>Instructions to Bidders</w:t>
      </w:r>
      <w:bookmarkEnd w:id="2"/>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78776"/>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78777"/>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78778"/>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78779"/>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78780"/>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78781"/>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78782"/>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78783"/>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78784"/>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78785"/>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78786"/>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78787"/>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78788"/>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78789"/>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78790"/>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78792"/>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78793"/>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78794"/>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78795"/>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78796"/>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78797"/>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78798"/>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78799"/>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78800"/>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78801"/>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78802"/>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78803"/>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78804"/>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78805"/>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78806"/>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78807"/>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78808"/>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78809"/>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78810"/>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78811"/>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78812"/>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78813"/>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78814"/>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78815"/>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78816"/>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78817"/>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78818"/>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78819"/>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78763"/>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79EEC3BB"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proofErr w:type="spellStart"/>
            <w:r w:rsidR="00600F84" w:rsidRPr="00600F84">
              <w:rPr>
                <w:rFonts w:ascii="Times New Roman" w:hAnsi="Times New Roman" w:cs="Times New Roman"/>
                <w:b/>
                <w:bCs/>
                <w:i/>
                <w:color w:val="2E74B5" w:themeColor="accent5" w:themeShade="BF"/>
              </w:rPr>
              <w:t>Gdh</w:t>
            </w:r>
            <w:proofErr w:type="spellEnd"/>
            <w:r w:rsidR="00600F84" w:rsidRPr="00600F84">
              <w:rPr>
                <w:rFonts w:ascii="Times New Roman" w:hAnsi="Times New Roman" w:cs="Times New Roman"/>
                <w:b/>
                <w:bCs/>
                <w:i/>
                <w:color w:val="2E74B5" w:themeColor="accent5" w:themeShade="BF"/>
              </w:rPr>
              <w:t>. Nadella</w:t>
            </w:r>
            <w:r w:rsidR="00A4279C" w:rsidRPr="00A4279C">
              <w:rPr>
                <w:rFonts w:ascii="Times New Roman" w:hAnsi="Times New Roman" w:cs="Times New Roman"/>
                <w:b/>
                <w:bCs/>
                <w:i/>
                <w:color w:val="2E74B5" w:themeColor="accent5" w:themeShade="BF"/>
              </w:rPr>
              <w:t>, Maldives</w:t>
            </w:r>
            <w:r w:rsidR="00666932">
              <w:rPr>
                <w:rFonts w:ascii="Times New Roman" w:hAnsi="Times New Roman" w:cs="Times New Roman"/>
                <w:i/>
              </w:rPr>
              <w:tab/>
            </w:r>
            <w:r w:rsidR="00666932">
              <w:rPr>
                <w:rFonts w:ascii="Times New Roman" w:hAnsi="Times New Roman" w:cs="Times New Roman"/>
                <w:i/>
              </w:rPr>
              <w:tab/>
            </w:r>
          </w:p>
          <w:p w14:paraId="76509201" w14:textId="100BF0E0"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666932">
              <w:rPr>
                <w:rFonts w:ascii="Times New Roman" w:hAnsi="Times New Roman" w:cs="Times New Roman"/>
                <w:b/>
                <w:bCs/>
                <w:color w:val="2E74B5" w:themeColor="accent5" w:themeShade="BF"/>
              </w:rPr>
              <w:t>2</w:t>
            </w:r>
            <w:r w:rsidR="00600F84">
              <w:rPr>
                <w:rFonts w:ascii="Times New Roman" w:hAnsi="Times New Roman" w:cs="Times New Roman"/>
                <w:b/>
                <w:bCs/>
                <w:color w:val="2E74B5" w:themeColor="accent5" w:themeShade="BF"/>
              </w:rPr>
              <w:t>9</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1B6F8C90"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 xml:space="preserve">MVR </w:t>
            </w:r>
            <w:r w:rsidR="0026365E">
              <w:rPr>
                <w:rFonts w:ascii="Times New Roman" w:hAnsi="Times New Roman" w:cs="Times New Roman"/>
                <w:b/>
                <w:bCs/>
                <w:color w:val="2E74B5" w:themeColor="accent5" w:themeShade="BF"/>
              </w:rPr>
              <w:t>25</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2DA8D2CC"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proofErr w:type="spellStart"/>
            <w:r w:rsidR="00600F84" w:rsidRPr="00600F84">
              <w:rPr>
                <w:rFonts w:ascii="Times New Roman" w:hAnsi="Times New Roman" w:cs="Times New Roman"/>
                <w:b/>
                <w:bCs/>
                <w:i/>
                <w:color w:val="2E74B5" w:themeColor="accent5" w:themeShade="BF"/>
              </w:rPr>
              <w:t>Gdh</w:t>
            </w:r>
            <w:proofErr w:type="spellEnd"/>
            <w:r w:rsidR="00600F84" w:rsidRPr="00600F84">
              <w:rPr>
                <w:rFonts w:ascii="Times New Roman" w:hAnsi="Times New Roman" w:cs="Times New Roman"/>
                <w:b/>
                <w:bCs/>
                <w:i/>
                <w:color w:val="2E74B5" w:themeColor="accent5" w:themeShade="BF"/>
              </w:rPr>
              <w:t>. Nadella</w:t>
            </w:r>
            <w:r w:rsidR="00A4279C" w:rsidRPr="00A4279C">
              <w:rPr>
                <w:rFonts w:ascii="Times New Roman" w:hAnsi="Times New Roman" w:cs="Times New Roman"/>
                <w:b/>
                <w:bCs/>
                <w:i/>
                <w:color w:val="2E74B5" w:themeColor="accent5" w:themeShade="BF"/>
              </w:rPr>
              <w:t>, Maldives</w:t>
            </w:r>
          </w:p>
          <w:p w14:paraId="7884CE1C" w14:textId="122BAE19"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Pr>
                <w:rFonts w:ascii="Times New Roman" w:hAnsi="Times New Roman" w:cs="Times New Roman"/>
                <w:b/>
                <w:bCs/>
                <w:iCs/>
                <w:color w:val="2E74B5" w:themeColor="accent5" w:themeShade="BF"/>
              </w:rPr>
              <w:t>2</w:t>
            </w:r>
            <w:r w:rsidR="00600F84">
              <w:rPr>
                <w:rFonts w:ascii="Times New Roman" w:hAnsi="Times New Roman" w:cs="Times New Roman"/>
                <w:b/>
                <w:bCs/>
                <w:iCs/>
                <w:color w:val="2E74B5" w:themeColor="accent5" w:themeShade="BF"/>
              </w:rPr>
              <w:t>9</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63778764"/>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1C18AC">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2" w:name="_Toc33306643"/>
      <w:bookmarkStart w:id="73" w:name="_Toc56434670"/>
      <w:r w:rsidRPr="000A1F71">
        <w:t>Multiple Lots (Contracts)</w:t>
      </w:r>
      <w:bookmarkEnd w:id="72"/>
      <w:bookmarkEnd w:id="73"/>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0" w:name="_Toc56434678"/>
            <w:r w:rsidRPr="000A1F71">
              <w:rPr>
                <w:rFonts w:cstheme="majorBidi"/>
              </w:rPr>
              <w:t>NCR Registration</w:t>
            </w:r>
            <w:bookmarkEnd w:id="90"/>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1" w:name="_Toc281416263"/>
      <w:bookmarkStart w:id="92" w:name="_Toc33306650"/>
      <w:bookmarkStart w:id="93" w:name="_Toc56434679"/>
      <w:r w:rsidRPr="000A1F71">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4"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4"/>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5" w:name="_Toc33306652"/>
      <w:bookmarkStart w:id="96" w:name="_Toc56434680"/>
      <w:r w:rsidRPr="000A1F71">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7" w:name="_Toc281416265"/>
            <w:bookmarkStart w:id="98" w:name="_Toc33306653"/>
            <w:bookmarkStart w:id="99" w:name="_Toc56434681"/>
            <w:r w:rsidRPr="000A1F71">
              <w:t>Historical Financial Performance</w:t>
            </w:r>
            <w:bookmarkEnd w:id="97"/>
            <w:bookmarkEnd w:id="98"/>
            <w:bookmarkEnd w:id="99"/>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0" w:name="_Toc33306654"/>
            <w:bookmarkStart w:id="101" w:name="_Toc56434682"/>
            <w:r w:rsidRPr="000A1F71">
              <w:t>Average Annual Turnover</w:t>
            </w:r>
            <w:bookmarkEnd w:id="100"/>
            <w:bookmarkEnd w:id="101"/>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2" w:name="_Toc33306655"/>
            <w:bookmarkStart w:id="103" w:name="_Toc56434683"/>
            <w:r w:rsidRPr="000A1F71">
              <w:t>Financial Resources</w:t>
            </w:r>
            <w:bookmarkEnd w:id="102"/>
            <w:bookmarkEnd w:id="103"/>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4" w:name="_Toc281416266"/>
      <w:bookmarkStart w:id="105" w:name="_Toc33306656"/>
    </w:p>
    <w:p w14:paraId="6AA0DB2A" w14:textId="77777777" w:rsidR="0081046E" w:rsidRDefault="0081046E" w:rsidP="00A110D4"/>
    <w:p w14:paraId="5D2C443E" w14:textId="549B537F" w:rsidR="00C90FE6" w:rsidRPr="000A1F71" w:rsidRDefault="00C90FE6" w:rsidP="00A110D4">
      <w:pPr>
        <w:pStyle w:val="Heading4"/>
      </w:pPr>
      <w:bookmarkStart w:id="106" w:name="_Toc56434684"/>
      <w:r w:rsidRPr="000A1F71">
        <w:lastRenderedPageBreak/>
        <w:t>Experience</w:t>
      </w:r>
      <w:bookmarkEnd w:id="104"/>
      <w:bookmarkEnd w:id="105"/>
      <w:bookmarkEnd w:id="106"/>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7" w:name="_Toc281416267"/>
            <w:bookmarkStart w:id="108" w:name="_Toc33306657"/>
            <w:bookmarkStart w:id="109" w:name="_Toc56434685"/>
            <w:r w:rsidRPr="000A1F71">
              <w:t>General Experience</w:t>
            </w:r>
            <w:bookmarkEnd w:id="107"/>
            <w:bookmarkEnd w:id="108"/>
            <w:bookmarkEnd w:id="109"/>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0" w:name="_Toc281416268"/>
            <w:bookmarkStart w:id="111" w:name="_Toc33306658"/>
            <w:bookmarkStart w:id="112" w:name="_Toc56434686"/>
            <w:r w:rsidRPr="000A1F71">
              <w:t>Specific Experience</w:t>
            </w:r>
            <w:bookmarkEnd w:id="110"/>
            <w:bookmarkEnd w:id="111"/>
            <w:bookmarkEnd w:id="112"/>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3" w:name="_Toc281416269"/>
      <w:bookmarkStart w:id="114" w:name="_Toc33306659"/>
      <w:bookmarkStart w:id="115" w:name="_Toc56434687"/>
      <w:r w:rsidRPr="000A1F71">
        <w:lastRenderedPageBreak/>
        <w:t>Experience in Key Activities</w:t>
      </w:r>
      <w:bookmarkEnd w:id="113"/>
      <w:bookmarkEnd w:id="114"/>
      <w:bookmarkEnd w:id="115"/>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6" w:name="_Toc56434688"/>
      <w:r w:rsidRPr="000A1F71">
        <w:t>Subcontractors Experience</w:t>
      </w:r>
      <w:bookmarkEnd w:id="116"/>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7" w:name="_Toc281416270"/>
      <w:bookmarkStart w:id="118" w:name="_Toc33306660"/>
      <w:bookmarkStart w:id="119" w:name="_Toc56434689"/>
      <w:r w:rsidRPr="000A1F71">
        <w:lastRenderedPageBreak/>
        <w:t>Key Personnel</w:t>
      </w:r>
      <w:bookmarkEnd w:id="117"/>
      <w:r w:rsidRPr="000A1F71">
        <w:t xml:space="preserve"> for </w:t>
      </w:r>
      <w:bookmarkEnd w:id="118"/>
      <w:r w:rsidR="00F23E5B" w:rsidRPr="000A1F71">
        <w:t>Construction Supervision</w:t>
      </w:r>
      <w:bookmarkEnd w:id="119"/>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0" w:name="_Toc56434690"/>
      <w:r w:rsidRPr="000A1F71">
        <w:lastRenderedPageBreak/>
        <w:t>Key Equipment</w:t>
      </w:r>
      <w:bookmarkEnd w:id="120"/>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1" w:name="_Toc63778765"/>
      <w:r w:rsidRPr="000A1F71">
        <w:lastRenderedPageBreak/>
        <w:t>Bidding Forms</w:t>
      </w:r>
      <w:bookmarkEnd w:id="121"/>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2"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3" w:name="_Toc63778820"/>
      <w:r w:rsidRPr="000A1F71">
        <w:rPr>
          <w:rStyle w:val="SubtleEmphasis"/>
          <w:rFonts w:asciiTheme="majorBidi" w:hAnsiTheme="majorBidi" w:cstheme="minorBidi"/>
          <w:b/>
          <w:bCs w:val="0"/>
          <w:sz w:val="32"/>
        </w:rPr>
        <w:lastRenderedPageBreak/>
        <w:t>Letter of Bid</w:t>
      </w:r>
      <w:bookmarkEnd w:id="123"/>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4" w:name="_Toc108949930"/>
            <w:bookmarkStart w:id="125"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4"/>
    <w:bookmarkEnd w:id="125"/>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70E1FF0E"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Pr>
          <w:rFonts w:ascii="Times New Roman" w:hAnsi="Times New Roman"/>
          <w:b/>
          <w:bCs/>
          <w:color w:val="2E74B5" w:themeColor="accent5" w:themeShade="BF"/>
        </w:rPr>
        <w:t>2</w:t>
      </w:r>
      <w:r w:rsidR="00600F84">
        <w:rPr>
          <w:rFonts w:ascii="Times New Roman" w:hAnsi="Times New Roman"/>
          <w:b/>
          <w:bCs/>
          <w:color w:val="2E74B5" w:themeColor="accent5" w:themeShade="BF"/>
        </w:rPr>
        <w:t>9</w:t>
      </w:r>
      <w:bookmarkStart w:id="126" w:name="_GoBack"/>
      <w:bookmarkEnd w:id="126"/>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proofErr w:type="spellStart"/>
      <w:r w:rsidR="00600F84" w:rsidRPr="00600F84">
        <w:rPr>
          <w:rFonts w:ascii="Times New Roman" w:hAnsi="Times New Roman"/>
          <w:b/>
          <w:bCs/>
          <w:color w:val="2E74B5" w:themeColor="accent5" w:themeShade="BF"/>
        </w:rPr>
        <w:t>Gdh</w:t>
      </w:r>
      <w:proofErr w:type="spellEnd"/>
      <w:r w:rsidR="00600F84" w:rsidRPr="00600F84">
        <w:rPr>
          <w:rFonts w:ascii="Times New Roman" w:hAnsi="Times New Roman"/>
          <w:b/>
          <w:bCs/>
          <w:color w:val="2E74B5" w:themeColor="accent5" w:themeShade="BF"/>
        </w:rPr>
        <w:t>. Nadella</w:t>
      </w:r>
      <w:r w:rsidRPr="00975D8C">
        <w:rPr>
          <w:rFonts w:ascii="Times New Roman" w:hAnsi="Times New Roman"/>
          <w:b/>
          <w:bCs/>
          <w:color w:val="2E74B5" w:themeColor="accent5" w:themeShade="BF"/>
        </w:rPr>
        <w:t>, Maldives}</w:t>
      </w:r>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78821"/>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78822"/>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78823"/>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78824"/>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78825"/>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78826"/>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7"/>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30"/>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1"/>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78832"/>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78833"/>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78834"/>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78835"/>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78836"/>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78837"/>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78838"/>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78839"/>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78840"/>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78841"/>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78842"/>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0585DF3"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72FEF26"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FDA8B73"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BC59C0F"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78843"/>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78844"/>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78846"/>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78847"/>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78848"/>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78849"/>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5" w:name="_Toc63778850"/>
      <w:r w:rsidRPr="000A1F71">
        <w:rPr>
          <w:rFonts w:eastAsiaTheme="minorHAnsi"/>
        </w:rPr>
        <w:t>Joint Venture Agreement</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78766"/>
      <w:bookmarkEnd w:id="122"/>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7" w:name="_Toc63778767"/>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78768"/>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78769"/>
      <w:r w:rsidRPr="000A1F71">
        <w:lastRenderedPageBreak/>
        <w:t>Specifications</w:t>
      </w:r>
      <w:bookmarkEnd w:id="169"/>
    </w:p>
    <w:p w14:paraId="7FC83FAB" w14:textId="43B66054" w:rsidR="00C66847" w:rsidRPr="000A1F71" w:rsidRDefault="00C66847" w:rsidP="00C66847">
      <w:pPr>
        <w:pStyle w:val="Heading2"/>
      </w:pPr>
      <w:bookmarkStart w:id="170" w:name="_Toc63778770"/>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78771"/>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78772"/>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78773"/>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78774"/>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78775"/>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600F84"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600F84">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600F84">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600F84">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600F84">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600F84">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600F84">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600F84">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600F84">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600F84">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600F84">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600F84">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23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6365E"/>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60C66"/>
    <w:rsid w:val="0037348E"/>
    <w:rsid w:val="00376375"/>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00F84"/>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56D3"/>
    <w:rsid w:val="0076040D"/>
    <w:rsid w:val="0076761D"/>
    <w:rsid w:val="00797556"/>
    <w:rsid w:val="007A498D"/>
    <w:rsid w:val="007B2D03"/>
    <w:rsid w:val="007B4543"/>
    <w:rsid w:val="007C1D98"/>
    <w:rsid w:val="007D4D73"/>
    <w:rsid w:val="007F0E71"/>
    <w:rsid w:val="0081046E"/>
    <w:rsid w:val="008223A5"/>
    <w:rsid w:val="00853613"/>
    <w:rsid w:val="008749B7"/>
    <w:rsid w:val="00897B12"/>
    <w:rsid w:val="008D307B"/>
    <w:rsid w:val="008F5303"/>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E2E18"/>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82DF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301"/>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D6749-359C-4871-8341-CA004ED2C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100</Pages>
  <Words>20576</Words>
  <Characters>117284</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84</cp:revision>
  <cp:lastPrinted>2020-10-27T17:30:00Z</cp:lastPrinted>
  <dcterms:created xsi:type="dcterms:W3CDTF">2020-11-10T15:32:00Z</dcterms:created>
  <dcterms:modified xsi:type="dcterms:W3CDTF">2021-02-22T09:45:00Z</dcterms:modified>
</cp:coreProperties>
</file>