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672734" w:rsidP="00672734">
      <w:pPr>
        <w:jc w:val="center"/>
        <w:rPr>
          <w:b/>
          <w:sz w:val="46"/>
          <w:szCs w:val="46"/>
        </w:rPr>
      </w:pPr>
      <w:r w:rsidRPr="00672734">
        <w:rPr>
          <w:b/>
          <w:sz w:val="52"/>
          <w:szCs w:val="52"/>
        </w:rPr>
        <w:t xml:space="preserve">Construction of Visitors Center at </w:t>
      </w:r>
      <w:proofErr w:type="spellStart"/>
      <w:r w:rsidRPr="00672734">
        <w:rPr>
          <w:b/>
          <w:sz w:val="52"/>
          <w:szCs w:val="52"/>
        </w:rPr>
        <w:t>Hithadhoo</w:t>
      </w:r>
      <w:proofErr w:type="spellEnd"/>
      <w:r w:rsidRPr="00672734">
        <w:rPr>
          <w:b/>
          <w:sz w:val="52"/>
          <w:szCs w:val="52"/>
        </w:rPr>
        <w:t xml:space="preserve"> Ecotourism Facility</w:t>
      </w:r>
    </w:p>
    <w:p w:rsidR="00BF3B7D" w:rsidRDefault="00BF3B7D" w:rsidP="00672734">
      <w:pPr>
        <w:tabs>
          <w:tab w:val="left" w:pos="720"/>
          <w:tab w:val="right" w:leader="dot" w:pos="8640"/>
        </w:tabs>
        <w:jc w:val="center"/>
        <w:rPr>
          <w:b/>
          <w:sz w:val="40"/>
          <w:szCs w:val="40"/>
        </w:rPr>
      </w:pPr>
      <w:r>
        <w:rPr>
          <w:b/>
          <w:sz w:val="40"/>
          <w:szCs w:val="40"/>
        </w:rPr>
        <w:t>IFB No.: 0</w:t>
      </w:r>
      <w:r w:rsidR="00672734">
        <w:rPr>
          <w:b/>
          <w:sz w:val="40"/>
          <w:szCs w:val="40"/>
        </w:rPr>
        <w:t>01</w:t>
      </w:r>
      <w:r>
        <w:rPr>
          <w:b/>
          <w:sz w:val="40"/>
          <w:szCs w:val="40"/>
        </w:rPr>
        <w:t>/</w:t>
      </w:r>
      <w:r w:rsidR="00672734">
        <w:rPr>
          <w:b/>
          <w:sz w:val="40"/>
          <w:szCs w:val="40"/>
        </w:rPr>
        <w:t>CCAP</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B97E54">
      <w:pPr>
        <w:tabs>
          <w:tab w:val="left" w:pos="720"/>
          <w:tab w:val="right" w:leader="dot" w:pos="8640"/>
        </w:tabs>
        <w:jc w:val="center"/>
        <w:rPr>
          <w:b/>
          <w:sz w:val="32"/>
          <w:szCs w:val="32"/>
        </w:rPr>
      </w:pPr>
      <w:r>
        <w:rPr>
          <w:b/>
          <w:sz w:val="32"/>
          <w:szCs w:val="32"/>
        </w:rPr>
        <w:t xml:space="preserve">Issued on: </w:t>
      </w:r>
      <w:r w:rsidR="00B97E54">
        <w:rPr>
          <w:b/>
          <w:sz w:val="32"/>
          <w:szCs w:val="32"/>
        </w:rPr>
        <w:t>May 11</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127C07">
          <w:rPr>
            <w:noProof/>
            <w:webHidden/>
          </w:rPr>
          <w:t>3</w:t>
        </w:r>
        <w:r>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127C07">
          <w:rPr>
            <w:webHidden/>
          </w:rPr>
          <w:t>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127C07">
          <w:rPr>
            <w:webHidden/>
          </w:rPr>
          <w:t>26</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127C07">
          <w:rPr>
            <w:webHidden/>
          </w:rPr>
          <w:t>29</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127C07">
          <w:rPr>
            <w:webHidden/>
          </w:rPr>
          <w:t>40</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127C07">
          <w:rPr>
            <w:webHidden/>
          </w:rPr>
          <w:t>65</w:t>
        </w:r>
        <w:r w:rsidR="0051627C">
          <w:rPr>
            <w:webHidden/>
          </w:rPr>
          <w:fldChar w:fldCharType="end"/>
        </w:r>
      </w:hyperlink>
    </w:p>
    <w:p w:rsidR="001B5586" w:rsidRDefault="00570EC1"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127C07">
          <w:rPr>
            <w:noProof/>
            <w:webHidden/>
          </w:rPr>
          <w:t>1</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127C07">
          <w:rPr>
            <w:webHidden/>
          </w:rPr>
          <w:t>1</w:t>
        </w:r>
        <w:r w:rsidR="0051627C">
          <w:rPr>
            <w:webHidden/>
          </w:rPr>
          <w:fldChar w:fldCharType="end"/>
        </w:r>
      </w:hyperlink>
    </w:p>
    <w:p w:rsidR="001B5586" w:rsidRDefault="00570EC1"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127C07">
          <w:rPr>
            <w:noProof/>
            <w:webHidden/>
          </w:rPr>
          <w:t>3</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127C07">
          <w:rPr>
            <w:webHidden/>
          </w:rPr>
          <w:t>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127C07">
          <w:rPr>
            <w:webHidden/>
          </w:rPr>
          <w:t>29</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127C07">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10"/>
          <w:headerReference w:type="default" r:id="rId11"/>
          <w:footerReference w:type="even" r:id="rId12"/>
          <w:footerReference w:type="default" r:id="rId13"/>
          <w:headerReference w:type="first" r:id="rId14"/>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127C07">
          <w:rPr>
            <w:noProof/>
            <w:webHidden/>
          </w:rPr>
          <w:t>6</w:t>
        </w:r>
        <w:r>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127C07">
          <w:rPr>
            <w:webHidden/>
          </w:rPr>
          <w:t>6</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127C07">
          <w:rPr>
            <w:webHidden/>
          </w:rPr>
          <w:t>6</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127C07">
          <w:rPr>
            <w:webHidden/>
          </w:rPr>
          <w:t>6</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127C07">
          <w:rPr>
            <w:webHidden/>
          </w:rPr>
          <w:t>7</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127C07">
          <w:rPr>
            <w:webHidden/>
          </w:rPr>
          <w:t>9</w:t>
        </w:r>
        <w:r w:rsidR="0051627C">
          <w:rPr>
            <w:webHidden/>
          </w:rPr>
          <w:fldChar w:fldCharType="end"/>
        </w:r>
      </w:hyperlink>
    </w:p>
    <w:p w:rsidR="001B5586" w:rsidRDefault="00570EC1"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127C07">
          <w:rPr>
            <w:noProof/>
            <w:webHidden/>
          </w:rPr>
          <w:t>9</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127C07">
          <w:rPr>
            <w:webHidden/>
          </w:rPr>
          <w:t>9</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127C07">
          <w:rPr>
            <w:webHidden/>
          </w:rPr>
          <w:t>10</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127C07">
          <w:rPr>
            <w:webHidden/>
          </w:rPr>
          <w:t>11</w:t>
        </w:r>
        <w:r w:rsidR="0051627C">
          <w:rPr>
            <w:webHidden/>
          </w:rPr>
          <w:fldChar w:fldCharType="end"/>
        </w:r>
      </w:hyperlink>
    </w:p>
    <w:p w:rsidR="001B5586" w:rsidRDefault="00570EC1"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127C07">
          <w:rPr>
            <w:noProof/>
            <w:webHidden/>
          </w:rPr>
          <w:t>11</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127C07">
          <w:rPr>
            <w:webHidden/>
          </w:rPr>
          <w:t>11</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127C07">
          <w:rPr>
            <w:webHidden/>
          </w:rPr>
          <w:t>11</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127C07">
          <w:rPr>
            <w:webHidden/>
          </w:rPr>
          <w:t>12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127C07">
          <w:rPr>
            <w:webHidden/>
          </w:rPr>
          <w:t>12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127C07">
          <w:rPr>
            <w:webHidden/>
          </w:rPr>
          <w:t>12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127C07">
          <w:rPr>
            <w:webHidden/>
          </w:rPr>
          <w:t>13</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127C07">
          <w:rPr>
            <w:webHidden/>
          </w:rPr>
          <w:t>14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127C07">
          <w:rPr>
            <w:webHidden/>
          </w:rPr>
          <w:t>14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127C07">
          <w:rPr>
            <w:webHidden/>
          </w:rPr>
          <w:t>14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127C07">
          <w:rPr>
            <w:webHidden/>
          </w:rPr>
          <w:t>14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127C07">
          <w:rPr>
            <w:webHidden/>
          </w:rPr>
          <w:t>15</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127C07">
          <w:rPr>
            <w:webHidden/>
          </w:rPr>
          <w:t>17</w:t>
        </w:r>
        <w:r w:rsidR="0051627C">
          <w:rPr>
            <w:webHidden/>
          </w:rPr>
          <w:fldChar w:fldCharType="end"/>
        </w:r>
      </w:hyperlink>
    </w:p>
    <w:p w:rsidR="001B5586" w:rsidRDefault="00570EC1"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127C07">
          <w:rPr>
            <w:noProof/>
            <w:webHidden/>
          </w:rPr>
          <w:t>17</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127C07">
          <w:rPr>
            <w:webHidden/>
          </w:rPr>
          <w:t>17</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127C07">
          <w:rPr>
            <w:webHidden/>
          </w:rPr>
          <w:t>18</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127C07">
          <w:rPr>
            <w:webHidden/>
          </w:rPr>
          <w:t>18</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127C07">
          <w:rPr>
            <w:webHidden/>
          </w:rPr>
          <w:t>18</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127C07">
          <w:rPr>
            <w:webHidden/>
          </w:rPr>
          <w:t>18</w:t>
        </w:r>
        <w:r w:rsidR="0051627C">
          <w:rPr>
            <w:webHidden/>
          </w:rPr>
          <w:fldChar w:fldCharType="end"/>
        </w:r>
      </w:hyperlink>
    </w:p>
    <w:p w:rsidR="001B5586" w:rsidRDefault="00570EC1"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127C07">
          <w:rPr>
            <w:noProof/>
            <w:webHidden/>
          </w:rPr>
          <w:t>19</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127C07">
          <w:rPr>
            <w:webHidden/>
          </w:rPr>
          <w:t>19</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127C07">
          <w:rPr>
            <w:webHidden/>
          </w:rPr>
          <w:t>20</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127C07">
          <w:rPr>
            <w:webHidden/>
          </w:rPr>
          <w:t>20</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127C07">
          <w:rPr>
            <w:webHidden/>
          </w:rPr>
          <w:t>20</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127C07">
          <w:rPr>
            <w:webHidden/>
          </w:rPr>
          <w:t>21</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127C07">
          <w:rPr>
            <w:webHidden/>
          </w:rPr>
          <w:t>21</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127C07">
          <w:rPr>
            <w:webHidden/>
          </w:rPr>
          <w:t>22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127C07">
          <w:rPr>
            <w:webHidden/>
          </w:rPr>
          <w:t>22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127C07">
          <w:rPr>
            <w:webHidden/>
          </w:rPr>
          <w:t>22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127C07">
          <w:rPr>
            <w:webHidden/>
          </w:rPr>
          <w:t>22</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127C07">
          <w:rPr>
            <w:webHidden/>
          </w:rPr>
          <w:t>23</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127C07">
          <w:rPr>
            <w:webHidden/>
          </w:rPr>
          <w:t>23</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127C07">
          <w:rPr>
            <w:webHidden/>
          </w:rPr>
          <w:t>24</w:t>
        </w:r>
        <w:r w:rsidR="0051627C">
          <w:rPr>
            <w:webHidden/>
          </w:rPr>
          <w:fldChar w:fldCharType="end"/>
        </w:r>
      </w:hyperlink>
    </w:p>
    <w:p w:rsidR="001B5586" w:rsidRDefault="00570EC1"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127C07">
          <w:rPr>
            <w:noProof/>
            <w:webHidden/>
          </w:rPr>
          <w:t>24</w:t>
        </w:r>
        <w:r w:rsidR="0051627C">
          <w:rPr>
            <w:noProof/>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127C07">
          <w:rPr>
            <w:webHidden/>
          </w:rPr>
          <w:t>24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127C07">
          <w:rPr>
            <w:webHidden/>
          </w:rPr>
          <w:t>24</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127C07">
          <w:rPr>
            <w:webHidden/>
          </w:rPr>
          <w:t>25</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127C07">
          <w:rPr>
            <w:webHidden/>
          </w:rPr>
          <w:t>25</w:t>
        </w:r>
        <w:r w:rsidR="0051627C">
          <w:rPr>
            <w:webHidden/>
          </w:rPr>
          <w:fldChar w:fldCharType="end"/>
        </w:r>
      </w:hyperlink>
    </w:p>
    <w:p w:rsidR="001B5586" w:rsidRDefault="00570EC1"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127C07">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 xml:space="preserve">Period of </w:t>
            </w:r>
            <w:r w:rsidRPr="00EC12FE">
              <w:lastRenderedPageBreak/>
              <w:t>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lastRenderedPageBreak/>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 xml:space="preserve">in </w:t>
            </w:r>
            <w:r w:rsidR="000E213A" w:rsidRPr="00EC12FE">
              <w:lastRenderedPageBreak/>
              <w:t>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w:t>
            </w:r>
            <w:r w:rsidRPr="00EC12FE">
              <w:rPr>
                <w:rFonts w:cs="Times New Roman"/>
                <w:bCs/>
              </w:rPr>
              <w:lastRenderedPageBreak/>
              <w:t>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w:t>
            </w:r>
            <w:r w:rsidRPr="00EC12FE">
              <w:lastRenderedPageBreak/>
              <w:t xml:space="preserve">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5"/>
          <w:headerReference w:type="default" r:id="rId16"/>
          <w:headerReference w:type="first" r:id="rId17"/>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2F01A6">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2F01A6">
              <w:rPr>
                <w:b/>
                <w:i/>
                <w:lang w:val="en-GB"/>
              </w:rPr>
              <w:t>140</w:t>
            </w:r>
            <w:bookmarkStart w:id="366" w:name="_GoBack"/>
            <w:bookmarkEnd w:id="366"/>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B97E54">
            <w:pPr>
              <w:tabs>
                <w:tab w:val="right" w:pos="7272"/>
              </w:tabs>
              <w:spacing w:after="160"/>
            </w:pPr>
            <w:r w:rsidRPr="00EC12FE">
              <w:t xml:space="preserve">The name of the bidding process is: </w:t>
            </w:r>
            <w:r w:rsidR="00B97E54">
              <w:rPr>
                <w:b/>
                <w:i/>
                <w:lang w:val="en-GB"/>
              </w:rPr>
              <w:t xml:space="preserve">Construction of Visitors </w:t>
            </w:r>
            <w:proofErr w:type="spellStart"/>
            <w:r w:rsidR="00B97E54">
              <w:rPr>
                <w:b/>
                <w:i/>
                <w:lang w:val="en-GB"/>
              </w:rPr>
              <w:t>Center</w:t>
            </w:r>
            <w:proofErr w:type="spellEnd"/>
            <w:r w:rsidR="00B97E54">
              <w:rPr>
                <w:b/>
                <w:i/>
                <w:lang w:val="en-GB"/>
              </w:rPr>
              <w:t xml:space="preserve"> </w:t>
            </w:r>
            <w:r w:rsidR="00CE5874">
              <w:rPr>
                <w:b/>
                <w:i/>
                <w:lang w:val="en-GB"/>
              </w:rPr>
              <w:t xml:space="preserve">at </w:t>
            </w:r>
            <w:proofErr w:type="spellStart"/>
            <w:r w:rsidR="00CE5874">
              <w:rPr>
                <w:b/>
                <w:i/>
                <w:lang w:val="en-GB"/>
              </w:rPr>
              <w:t>Hithadhoo</w:t>
            </w:r>
            <w:proofErr w:type="spellEnd"/>
            <w:r w:rsidR="00CE5874">
              <w:rPr>
                <w:b/>
                <w:i/>
                <w:lang w:val="en-GB"/>
              </w:rPr>
              <w:t xml:space="preserve"> Ecotourism Facility</w:t>
            </w:r>
          </w:p>
          <w:p w:rsidR="00030555" w:rsidRDefault="007B586E" w:rsidP="00CE5874">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01</w:t>
            </w:r>
            <w:r w:rsidR="006B423C" w:rsidRPr="006B423C">
              <w:rPr>
                <w:b/>
                <w:i/>
                <w:lang w:val="en-GB"/>
              </w:rPr>
              <w:t>/</w:t>
            </w:r>
            <w:r w:rsidR="00CE5874">
              <w:rPr>
                <w:b/>
                <w:i/>
                <w:lang w:val="en-GB"/>
              </w:rPr>
              <w:t>CCAP</w:t>
            </w:r>
          </w:p>
          <w:p w:rsidR="00016EBA" w:rsidRPr="006B423C" w:rsidRDefault="00016EBA" w:rsidP="00570EC1">
            <w:pPr>
              <w:tabs>
                <w:tab w:val="right" w:pos="7272"/>
              </w:tabs>
              <w:spacing w:after="160"/>
              <w:ind w:left="5040"/>
              <w:rPr>
                <w:rFonts w:hint="cs"/>
                <w:lang w:bidi="dv-MV"/>
              </w:rPr>
            </w:pPr>
            <w:r>
              <w:rPr>
                <w:b/>
                <w:i/>
                <w:lang w:val="en-GB"/>
              </w:rPr>
              <w:t>TEB/20</w:t>
            </w:r>
            <w:r w:rsidR="00A35560">
              <w:rPr>
                <w:b/>
                <w:i/>
                <w:lang w:val="en-GB"/>
              </w:rPr>
              <w:t>15</w:t>
            </w:r>
            <w:r>
              <w:rPr>
                <w:b/>
                <w:i/>
                <w:lang w:val="en-GB"/>
              </w:rPr>
              <w:t>/</w:t>
            </w:r>
            <w:r w:rsidR="00A35560">
              <w:rPr>
                <w:b/>
                <w:i/>
                <w:lang w:val="en-GB"/>
              </w:rPr>
              <w:t>W-</w:t>
            </w:r>
            <w:r w:rsidR="00570EC1">
              <w:rPr>
                <w:rFonts w:hint="cs"/>
                <w:b/>
                <w:i/>
                <w:rtl/>
                <w:lang w:val="en-GB" w:bidi="dv-MV"/>
              </w:rPr>
              <w:t>89</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570EC1" w:rsidRDefault="006134A0" w:rsidP="00570EC1">
            <w:pPr>
              <w:tabs>
                <w:tab w:val="right" w:pos="7254"/>
              </w:tabs>
              <w:spacing w:after="60"/>
              <w:ind w:left="720"/>
              <w:rPr>
                <w:b/>
                <w:i/>
              </w:rPr>
            </w:pPr>
            <w:r w:rsidRPr="00570EC1">
              <w:rPr>
                <w:b/>
                <w:i/>
              </w:rPr>
              <w:t>M</w:t>
            </w:r>
            <w:r w:rsidR="00A35560" w:rsidRPr="00570EC1">
              <w:rPr>
                <w:b/>
                <w:i/>
              </w:rPr>
              <w:t>r</w:t>
            </w:r>
            <w:r w:rsidR="006B423C" w:rsidRPr="00570EC1">
              <w:rPr>
                <w:b/>
                <w:i/>
              </w:rPr>
              <w:t xml:space="preserve">. </w:t>
            </w:r>
            <w:r w:rsidR="00570EC1" w:rsidRPr="00570EC1">
              <w:rPr>
                <w:b/>
                <w:i/>
              </w:rPr>
              <w:t>Mohamed Shafraz</w:t>
            </w:r>
          </w:p>
          <w:p w:rsidR="006B423C" w:rsidRPr="00EE5FA0" w:rsidRDefault="00F125A7" w:rsidP="00F125A7">
            <w:pPr>
              <w:tabs>
                <w:tab w:val="right" w:pos="7254"/>
              </w:tabs>
              <w:spacing w:after="60"/>
              <w:ind w:left="720"/>
              <w:rPr>
                <w:b/>
                <w:i/>
              </w:rPr>
            </w:pPr>
            <w:r w:rsidRPr="00570EC1">
              <w:rPr>
                <w:b/>
                <w:i/>
              </w:rPr>
              <w:t xml:space="preserve">Assistant </w:t>
            </w:r>
            <w:r w:rsidR="006B423C" w:rsidRPr="00570EC1">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570EC1">
            <w:pPr>
              <w:tabs>
                <w:tab w:val="right" w:pos="7254"/>
              </w:tabs>
              <w:spacing w:after="60"/>
              <w:ind w:left="720"/>
              <w:rPr>
                <w:b/>
                <w:i/>
              </w:rPr>
            </w:pPr>
            <w:r w:rsidRPr="00EE5FA0">
              <w:rPr>
                <w:b/>
                <w:i/>
              </w:rPr>
              <w:t>Tel: (960) 3349</w:t>
            </w:r>
            <w:r w:rsidR="00570EC1">
              <w:rPr>
                <w:b/>
                <w:i/>
              </w:rPr>
              <w:t>107</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9" w:history="1">
              <w:r w:rsidRPr="00AF6143">
                <w:rPr>
                  <w:i/>
                  <w:color w:val="0070C0"/>
                  <w:u w:val="single"/>
                </w:rPr>
                <w:t>tender@finance.gov.mv</w:t>
              </w:r>
            </w:hyperlink>
          </w:p>
          <w:p w:rsidR="00570EC1" w:rsidRPr="00570EC1" w:rsidRDefault="00570EC1" w:rsidP="006134A0">
            <w:pPr>
              <w:tabs>
                <w:tab w:val="right" w:pos="7254"/>
              </w:tabs>
              <w:spacing w:after="60"/>
              <w:ind w:left="720"/>
              <w:rPr>
                <w:i/>
              </w:rPr>
            </w:pPr>
            <w:hyperlink r:id="rId20" w:history="1">
              <w:r w:rsidRPr="00570EC1">
                <w:rPr>
                  <w:rStyle w:val="Hyperlink"/>
                  <w:bCs/>
                  <w:i/>
                </w:rPr>
                <w:t>Mohamed</w:t>
              </w:r>
              <w:r w:rsidRPr="00570EC1">
                <w:rPr>
                  <w:rStyle w:val="Hyperlink"/>
                  <w:b/>
                  <w:i/>
                </w:rPr>
                <w:t>.</w:t>
              </w:r>
              <w:r w:rsidRPr="00570EC1">
                <w:rPr>
                  <w:rStyle w:val="Hyperlink"/>
                  <w:i/>
                </w:rPr>
                <w:t>shafraz@finance.gov.mv</w:t>
              </w:r>
            </w:hyperlink>
            <w:r w:rsidRPr="00570EC1">
              <w:rPr>
                <w:i/>
              </w:rPr>
              <w:t xml:space="preserve"> </w:t>
            </w:r>
          </w:p>
          <w:p w:rsidR="006B423C" w:rsidRDefault="006B423C" w:rsidP="006134A0">
            <w:pPr>
              <w:tabs>
                <w:tab w:val="right" w:pos="7254"/>
              </w:tabs>
            </w:pPr>
          </w:p>
          <w:p w:rsidR="007B586E" w:rsidRPr="00EC12FE" w:rsidRDefault="007B586E" w:rsidP="00CE5874">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CE5874">
              <w:rPr>
                <w:b/>
                <w:i/>
              </w:rPr>
              <w:t>31</w:t>
            </w:r>
            <w:r w:rsidR="00CE5874" w:rsidRPr="00CE5874">
              <w:rPr>
                <w:b/>
                <w:i/>
                <w:vertAlign w:val="superscript"/>
              </w:rPr>
              <w:t>st</w:t>
            </w:r>
            <w:r w:rsidR="00CE5874">
              <w:rPr>
                <w:b/>
                <w:i/>
              </w:rPr>
              <w:t xml:space="preserve"> May</w:t>
            </w:r>
            <w:r w:rsidR="008E3515">
              <w:rPr>
                <w:b/>
                <w:i/>
              </w:rPr>
              <w:t xml:space="preserve">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1"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A4317D">
            <w:pPr>
              <w:tabs>
                <w:tab w:val="right" w:pos="7254"/>
              </w:tabs>
              <w:spacing w:after="120"/>
              <w:rPr>
                <w:i/>
              </w:rPr>
            </w:pPr>
            <w:r>
              <w:t>Date</w:t>
            </w:r>
            <w:r w:rsidRPr="00EC12FE">
              <w:t xml:space="preserve">: </w:t>
            </w:r>
            <w:r>
              <w:rPr>
                <w:b/>
                <w:i/>
                <w:lang w:val="en-GB"/>
              </w:rPr>
              <w:t>May 25, 2015</w:t>
            </w:r>
          </w:p>
          <w:p w:rsidR="00A4317D" w:rsidRPr="00EC12FE" w:rsidRDefault="00A4317D" w:rsidP="00A4317D">
            <w:pPr>
              <w:tabs>
                <w:tab w:val="right" w:pos="7254"/>
              </w:tabs>
              <w:spacing w:after="120"/>
              <w:rPr>
                <w:i/>
              </w:rPr>
            </w:pPr>
            <w:r w:rsidRPr="00EC12FE">
              <w:t xml:space="preserve">Time: </w:t>
            </w:r>
            <w:r w:rsidRPr="00AA7ABE">
              <w:rPr>
                <w:b/>
                <w:i/>
                <w:lang w:val="en-GB"/>
              </w:rPr>
              <w:t>1</w:t>
            </w:r>
            <w:r>
              <w:rPr>
                <w:b/>
                <w:i/>
                <w:lang w:val="en-GB"/>
              </w:rPr>
              <w:t>4</w:t>
            </w:r>
            <w:r w:rsidRPr="00AA7ABE">
              <w:rPr>
                <w:b/>
                <w:i/>
                <w:lang w:val="en-GB"/>
              </w:rPr>
              <w:t>00 Hrs</w:t>
            </w:r>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E3515">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(No Due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13CBD">
              <w:rPr>
                <w:b/>
                <w:i/>
                <w:iCs/>
              </w:rPr>
              <w:t>7</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lastRenderedPageBreak/>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570EC1">
            <w:pPr>
              <w:tabs>
                <w:tab w:val="right" w:pos="7254"/>
              </w:tabs>
              <w:spacing w:after="60"/>
              <w:ind w:left="720"/>
              <w:rPr>
                <w:b/>
                <w:i/>
              </w:rPr>
            </w:pPr>
            <w:r w:rsidRPr="00EE5FA0">
              <w:rPr>
                <w:b/>
                <w:i/>
              </w:rPr>
              <w:t>Tel: (960) 3349</w:t>
            </w:r>
            <w:r w:rsidR="00570EC1">
              <w:rPr>
                <w:b/>
                <w:i/>
              </w:rPr>
              <w:t>107</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2"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58648B">
            <w:pPr>
              <w:tabs>
                <w:tab w:val="right" w:pos="7254"/>
              </w:tabs>
              <w:rPr>
                <w:i/>
              </w:rPr>
            </w:pPr>
            <w:r>
              <w:t>Date</w:t>
            </w:r>
            <w:r w:rsidRPr="00EC12FE">
              <w:t xml:space="preserve">: </w:t>
            </w:r>
            <w:r w:rsidR="00CE5874">
              <w:rPr>
                <w:b/>
                <w:i/>
                <w:lang w:val="en-GB"/>
              </w:rPr>
              <w:t>June 15</w:t>
            </w:r>
            <w:r>
              <w:rPr>
                <w:b/>
                <w:i/>
                <w:lang w:val="en-GB"/>
              </w:rPr>
              <w:t>, 201</w:t>
            </w:r>
            <w:r w:rsidR="0073679F">
              <w:rPr>
                <w:b/>
                <w:i/>
                <w:lang w:val="en-GB"/>
              </w:rPr>
              <w:t>5</w:t>
            </w:r>
          </w:p>
          <w:p w:rsidR="00B530A2" w:rsidRPr="00B530A2" w:rsidRDefault="00B530A2" w:rsidP="0058648B">
            <w:pPr>
              <w:tabs>
                <w:tab w:val="right" w:pos="7254"/>
              </w:tabs>
              <w:rPr>
                <w:i/>
              </w:rPr>
            </w:pPr>
            <w:r w:rsidRPr="00EC12FE">
              <w:t xml:space="preserve">Time: </w:t>
            </w:r>
            <w:r w:rsidRPr="00AA7ABE">
              <w:rPr>
                <w:b/>
                <w:i/>
                <w:lang w:val="en-GB"/>
              </w:rPr>
              <w:t>1</w:t>
            </w:r>
            <w:r w:rsidR="00CE5874">
              <w:rPr>
                <w:b/>
                <w:i/>
                <w:lang w:val="en-GB"/>
              </w:rPr>
              <w:t>4</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570EC1">
            <w:pPr>
              <w:tabs>
                <w:tab w:val="right" w:pos="7254"/>
              </w:tabs>
              <w:spacing w:after="120"/>
              <w:rPr>
                <w:bCs/>
              </w:rPr>
            </w:pPr>
            <w:r w:rsidRPr="00EC12FE">
              <w:rPr>
                <w:bCs/>
              </w:rPr>
              <w:t>The Adjudicator proposed by the Employer is</w:t>
            </w:r>
            <w:r w:rsidRPr="00EC12FE">
              <w:rPr>
                <w:b/>
                <w:bCs/>
                <w:i/>
              </w:rPr>
              <w:t xml:space="preserve">: </w:t>
            </w:r>
            <w:r w:rsidR="00570EC1">
              <w:rPr>
                <w:b/>
                <w:bCs/>
                <w:i/>
              </w:rPr>
              <w:t>Ministry of Finance and Treasury</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lastRenderedPageBreak/>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127C07">
          <w:rPr>
            <w:noProof/>
            <w:webHidden/>
          </w:rPr>
          <w:t>31</w:t>
        </w:r>
        <w:r>
          <w:rPr>
            <w:noProof/>
            <w:webHidden/>
          </w:rPr>
          <w:fldChar w:fldCharType="end"/>
        </w:r>
      </w:hyperlink>
    </w:p>
    <w:p w:rsidR="003531F4" w:rsidRDefault="00570EC1"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127C07">
          <w:rPr>
            <w:noProof/>
            <w:webHidden/>
          </w:rPr>
          <w:t>31</w:t>
        </w:r>
        <w:r w:rsidR="0051627C">
          <w:rPr>
            <w:noProof/>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127C07">
          <w:rPr>
            <w:webHidden/>
          </w:rPr>
          <w:t>31</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127C07">
          <w:rPr>
            <w:webHidden/>
          </w:rPr>
          <w:t>31</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127C07">
          <w:rPr>
            <w:webHidden/>
          </w:rPr>
          <w:t>31</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127C07">
          <w:rPr>
            <w:webHidden/>
          </w:rPr>
          <w:t>31</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127C07">
          <w:rPr>
            <w:webHidden/>
          </w:rPr>
          <w:t>31</w:t>
        </w:r>
        <w:r w:rsidR="0051627C">
          <w:rPr>
            <w:webHidden/>
          </w:rPr>
          <w:fldChar w:fldCharType="end"/>
        </w:r>
      </w:hyperlink>
    </w:p>
    <w:p w:rsidR="003531F4" w:rsidRDefault="00570EC1"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127C07">
          <w:rPr>
            <w:noProof/>
            <w:webHidden/>
          </w:rPr>
          <w:t>32</w:t>
        </w:r>
        <w:r w:rsidR="0051627C">
          <w:rPr>
            <w:noProof/>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127C07">
          <w:rPr>
            <w:webHidden/>
          </w:rPr>
          <w:t>32</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127C07">
          <w:rPr>
            <w:webHidden/>
          </w:rPr>
          <w:t>33</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127C07">
          <w:rPr>
            <w:webHidden/>
          </w:rPr>
          <w:t>35</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127C07">
          <w:rPr>
            <w:webHidden/>
          </w:rPr>
          <w:t>37</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127C07">
          <w:rPr>
            <w:webHidden/>
          </w:rPr>
          <w:t>39</w:t>
        </w:r>
        <w:r w:rsidR="0051627C">
          <w:rPr>
            <w:webHidden/>
          </w:rPr>
          <w:fldChar w:fldCharType="end"/>
        </w:r>
      </w:hyperlink>
    </w:p>
    <w:p w:rsidR="003531F4" w:rsidRDefault="00570EC1"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127C07">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3"/>
          <w:headerReference w:type="default" r:id="rId24"/>
          <w:footerReference w:type="even" r:id="rId25"/>
          <w:footerReference w:type="default" r:id="rId26"/>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lastRenderedPageBreak/>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C5A0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713CBD">
              <w:rPr>
                <w:rFonts w:ascii="Arial" w:hAnsi="Arial" w:cs="Arial"/>
                <w:b/>
                <w:i/>
                <w:sz w:val="19"/>
                <w:szCs w:val="19"/>
              </w:rPr>
              <w:t>2</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7273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713CBD">
              <w:rPr>
                <w:rFonts w:ascii="Arial" w:hAnsi="Arial" w:cs="Arial"/>
                <w:b/>
                <w:i/>
                <w:sz w:val="19"/>
                <w:szCs w:val="19"/>
              </w:rPr>
              <w:lastRenderedPageBreak/>
              <w:t>7</w:t>
            </w:r>
            <w:r w:rsidRPr="002B244E">
              <w:rPr>
                <w:rFonts w:ascii="Arial" w:hAnsi="Arial" w:cs="Arial"/>
                <w:b/>
                <w:i/>
                <w:sz w:val="19"/>
                <w:szCs w:val="19"/>
              </w:rPr>
              <w:t>,</w:t>
            </w:r>
            <w:r w:rsidR="00672734">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72734">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713CBD">
              <w:rPr>
                <w:rFonts w:ascii="Arial" w:hAnsi="Arial" w:cs="Arial"/>
                <w:b/>
                <w:i/>
                <w:sz w:val="20"/>
                <w:szCs w:val="20"/>
              </w:rPr>
              <w:t>3</w:t>
            </w:r>
            <w:r w:rsidRPr="003D623B">
              <w:rPr>
                <w:rFonts w:ascii="Arial" w:hAnsi="Arial" w:cs="Arial"/>
                <w:b/>
                <w:i/>
                <w:sz w:val="20"/>
                <w:szCs w:val="20"/>
              </w:rPr>
              <w:t>,</w:t>
            </w:r>
            <w:r w:rsidR="00672734">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7"/>
          <w:headerReference w:type="default" r:id="rId28"/>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9"/>
          <w:headerReference w:type="default" r:id="rId30"/>
          <w:headerReference w:type="first" r:id="rId31"/>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lastRenderedPageBreak/>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127C07">
          <w:rPr>
            <w:noProof/>
            <w:webHidden/>
          </w:rPr>
          <w:t>41</w:t>
        </w:r>
        <w:r>
          <w:rPr>
            <w:noProof/>
            <w:webHidden/>
          </w:rPr>
          <w:fldChar w:fldCharType="end"/>
        </w:r>
      </w:hyperlink>
    </w:p>
    <w:p w:rsidR="003531F4" w:rsidRDefault="00570EC1"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127C07">
          <w:rPr>
            <w:noProof/>
            <w:webHidden/>
          </w:rPr>
          <w:t>44</w:t>
        </w:r>
        <w:r w:rsidR="0051627C">
          <w:rPr>
            <w:noProof/>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127C07">
          <w:rPr>
            <w:webHidden/>
          </w:rPr>
          <w:t>44</w:t>
        </w:r>
        <w:r w:rsidR="0051627C">
          <w:rPr>
            <w:webHidden/>
          </w:rPr>
          <w:fldChar w:fldCharType="end"/>
        </w:r>
      </w:hyperlink>
    </w:p>
    <w:p w:rsidR="003531F4" w:rsidRDefault="00570EC1"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127C07">
          <w:rPr>
            <w:noProof/>
            <w:webHidden/>
          </w:rPr>
          <w:t>45</w:t>
        </w:r>
        <w:r w:rsidR="0051627C">
          <w:rPr>
            <w:noProof/>
            <w:webHidden/>
          </w:rPr>
          <w:fldChar w:fldCharType="end"/>
        </w:r>
      </w:hyperlink>
    </w:p>
    <w:p w:rsidR="003531F4" w:rsidRDefault="00570EC1"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127C07">
          <w:rPr>
            <w:noProof/>
            <w:webHidden/>
          </w:rPr>
          <w:t>47</w:t>
        </w:r>
        <w:r w:rsidR="0051627C">
          <w:rPr>
            <w:noProof/>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127C07">
          <w:rPr>
            <w:webHidden/>
          </w:rPr>
          <w:t>47</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127C07">
          <w:rPr>
            <w:webHidden/>
          </w:rPr>
          <w:t>48</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127C07">
          <w:rPr>
            <w:webHidden/>
          </w:rPr>
          <w:t>50</w:t>
        </w:r>
        <w:r w:rsidR="0051627C">
          <w:rPr>
            <w:webHidden/>
          </w:rPr>
          <w:fldChar w:fldCharType="end"/>
        </w:r>
      </w:hyperlink>
    </w:p>
    <w:p w:rsidR="003531F4" w:rsidRDefault="00570EC1"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127C07">
          <w:rPr>
            <w:noProof/>
            <w:webHidden/>
          </w:rPr>
          <w:t>51</w:t>
        </w:r>
        <w:r w:rsidR="0051627C">
          <w:rPr>
            <w:noProof/>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127C07">
          <w:rPr>
            <w:webHidden/>
          </w:rPr>
          <w:t>52</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127C07">
          <w:rPr>
            <w:webHidden/>
          </w:rPr>
          <w:t>53</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127C07">
          <w:rPr>
            <w:webHidden/>
          </w:rPr>
          <w:t>54</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127C07">
          <w:rPr>
            <w:webHidden/>
          </w:rPr>
          <w:t>55</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127C07">
          <w:rPr>
            <w:webHidden/>
          </w:rPr>
          <w:t>56</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127C07">
          <w:rPr>
            <w:webHidden/>
          </w:rPr>
          <w:t>58</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127C07">
          <w:rPr>
            <w:webHidden/>
          </w:rPr>
          <w:t>59</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127C07">
          <w:rPr>
            <w:webHidden/>
          </w:rPr>
          <w:t>60</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127C07">
          <w:rPr>
            <w:webHidden/>
          </w:rPr>
          <w:t>61</w:t>
        </w:r>
        <w:r w:rsidR="0051627C">
          <w:rPr>
            <w:webHidden/>
          </w:rPr>
          <w:fldChar w:fldCharType="end"/>
        </w:r>
      </w:hyperlink>
    </w:p>
    <w:p w:rsidR="003531F4" w:rsidRDefault="00570EC1">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127C07">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lastRenderedPageBreak/>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EA007D">
      <w:pPr>
        <w:tabs>
          <w:tab w:val="right" w:pos="9000"/>
        </w:tabs>
      </w:pPr>
      <w:r>
        <w:t>N</w:t>
      </w:r>
      <w:r w:rsidR="00372302" w:rsidRPr="00EC12FE">
        <w:t xml:space="preserve">CB No.: </w:t>
      </w:r>
      <w:r w:rsidRPr="00A071DB">
        <w:rPr>
          <w:b/>
          <w:u w:val="single"/>
        </w:rPr>
        <w:t>IFB No.: 0</w:t>
      </w:r>
      <w:r w:rsidR="00EA007D">
        <w:rPr>
          <w:b/>
          <w:u w:val="single"/>
        </w:rPr>
        <w:t>01</w:t>
      </w:r>
      <w:r w:rsidRPr="00A071DB">
        <w:rPr>
          <w:b/>
          <w:u w:val="single"/>
        </w:rPr>
        <w:t>/</w:t>
      </w:r>
      <w:r w:rsidR="00EA007D">
        <w:rPr>
          <w:b/>
          <w:u w:val="single"/>
        </w:rPr>
        <w:t>CCAP</w:t>
      </w:r>
    </w:p>
    <w:p w:rsidR="00372302" w:rsidRPr="00EC12FE" w:rsidRDefault="00372302" w:rsidP="002F01A6">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2F01A6">
        <w:rPr>
          <w:b/>
          <w:i/>
        </w:rPr>
        <w:t>140</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EA007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EA007D">
        <w:rPr>
          <w:b/>
          <w:bCs/>
          <w:u w:val="single"/>
        </w:rPr>
        <w:t xml:space="preserve">Construction of Visitors Center at </w:t>
      </w:r>
      <w:proofErr w:type="spellStart"/>
      <w:r w:rsidR="00EA007D">
        <w:rPr>
          <w:b/>
          <w:bCs/>
          <w:u w:val="single"/>
        </w:rPr>
        <w:t>Hithadhoo</w:t>
      </w:r>
      <w:proofErr w:type="spellEnd"/>
      <w:r w:rsidR="00EA007D">
        <w:rPr>
          <w:b/>
          <w:bCs/>
          <w:u w:val="single"/>
        </w:rPr>
        <w:t xml:space="preserve"> Ecotourism Facility</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46"/>
        <w:gridCol w:w="1666"/>
        <w:gridCol w:w="1851"/>
        <w:gridCol w:w="1851"/>
        <w:gridCol w:w="1851"/>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6"/>
        <w:gridCol w:w="1108"/>
        <w:gridCol w:w="2095"/>
        <w:gridCol w:w="1979"/>
        <w:gridCol w:w="2509"/>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2"/>
          <w:headerReference w:type="default" r:id="rId33"/>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4"/>
          <w:headerReference w:type="default" r:id="rId35"/>
          <w:footerReference w:type="even" r:id="rId36"/>
          <w:footerReference w:type="default" r:id="rId37"/>
          <w:headerReference w:type="first" r:id="rId38"/>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9"/>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3C7CF9">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1"/>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3C7CF9">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3C7CF9">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3C7CF9">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3C7CF9">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3C7CF9">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3C7CF9">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3C7CF9">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3C7CF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3C7CF9">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3C7CF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3C7CF9">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3C7CF9">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3C7CF9">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3C7CF9">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3C7CF9">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3C7CF9">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3C7CF9">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3C7CF9">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3C7CF9">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3C7CF9">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 xml:space="preserve">Contractor to </w:t>
            </w:r>
            <w:r w:rsidRPr="00EC12FE">
              <w:lastRenderedPageBreak/>
              <w:t>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lastRenderedPageBreak/>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lastRenderedPageBreak/>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lastRenderedPageBreak/>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 xml:space="preserve">Payment upon </w:t>
            </w:r>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2"/>
          <w:headerReference w:type="default" r:id="rId43"/>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462E42">
            <w:pPr>
              <w:ind w:right="2"/>
              <w:rPr>
                <w:b/>
                <w:i/>
              </w:rPr>
            </w:pPr>
            <w:r w:rsidRPr="00EC12FE">
              <w:t xml:space="preserve"> </w:t>
            </w:r>
            <w:r w:rsidR="00502AF1">
              <w:tab/>
            </w:r>
            <w:r w:rsidR="00462E42">
              <w:rPr>
                <w:b/>
                <w:i/>
              </w:rPr>
              <w:t>240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A2583">
            <w:pPr>
              <w:spacing w:after="200"/>
              <w:ind w:right="2"/>
            </w:pPr>
            <w:r w:rsidRPr="00EC12FE">
              <w:t xml:space="preserve">The Works consist of </w:t>
            </w:r>
            <w:r w:rsidR="005A2583">
              <w:rPr>
                <w:b/>
                <w:i/>
              </w:rPr>
              <w:t xml:space="preserve">Construction of Visitors Center at </w:t>
            </w:r>
            <w:proofErr w:type="spellStart"/>
            <w:r w:rsidR="005A2583">
              <w:rPr>
                <w:b/>
                <w:i/>
              </w:rPr>
              <w:t>Hithadhoo</w:t>
            </w:r>
            <w:proofErr w:type="spellEnd"/>
            <w:r w:rsidR="005A2583">
              <w:rPr>
                <w:b/>
                <w:i/>
              </w:rPr>
              <w:t xml:space="preserve"> Ecotourism Facility</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4"/>
          <w:headerReference w:type="default" r:id="rId45"/>
          <w:headerReference w:type="first" r:id="rId46"/>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3C7CF9">
          <w:rPr>
            <w:b w:val="0"/>
            <w:bCs/>
            <w:noProof/>
            <w:webHidden/>
          </w:rPr>
          <w:t>33</w:t>
        </w:r>
        <w:r w:rsidRPr="006967AA">
          <w:rPr>
            <w:b w:val="0"/>
            <w:bCs/>
            <w:noProof/>
            <w:webHidden/>
          </w:rPr>
          <w:fldChar w:fldCharType="end"/>
        </w:r>
      </w:hyperlink>
    </w:p>
    <w:p w:rsidR="006967AA" w:rsidRPr="006967AA" w:rsidRDefault="00570EC1">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3C7CF9">
          <w:rPr>
            <w:b w:val="0"/>
            <w:bCs/>
            <w:noProof/>
            <w:webHidden/>
          </w:rPr>
          <w:t>34</w:t>
        </w:r>
        <w:r w:rsidR="0051627C" w:rsidRPr="006967AA">
          <w:rPr>
            <w:b w:val="0"/>
            <w:bCs/>
            <w:noProof/>
            <w:webHidden/>
          </w:rPr>
          <w:fldChar w:fldCharType="end"/>
        </w:r>
      </w:hyperlink>
    </w:p>
    <w:p w:rsidR="006967AA" w:rsidRPr="006967AA" w:rsidRDefault="00570EC1">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3C7CF9">
          <w:rPr>
            <w:b w:val="0"/>
            <w:bCs/>
            <w:noProof/>
            <w:webHidden/>
          </w:rPr>
          <w:t>36</w:t>
        </w:r>
        <w:r w:rsidR="0051627C" w:rsidRPr="006967AA">
          <w:rPr>
            <w:b w:val="0"/>
            <w:bCs/>
            <w:noProof/>
            <w:webHidden/>
          </w:rPr>
          <w:fldChar w:fldCharType="end"/>
        </w:r>
      </w:hyperlink>
    </w:p>
    <w:p w:rsidR="006967AA" w:rsidRPr="006967AA" w:rsidRDefault="00570EC1">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3C7CF9">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7"/>
      <w:headerReference w:type="default" r:id="rId48"/>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EC1" w:rsidRDefault="00570EC1">
      <w:r>
        <w:separator/>
      </w:r>
    </w:p>
  </w:endnote>
  <w:endnote w:type="continuationSeparator" w:id="0">
    <w:p w:rsidR="00570EC1" w:rsidRDefault="00570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6050002"/>
      <w:docPartObj>
        <w:docPartGallery w:val="Page Numbers (Bottom of Page)"/>
        <w:docPartUnique/>
      </w:docPartObj>
    </w:sdtPr>
    <w:sdtContent>
      <w:p w:rsidR="00570EC1" w:rsidRPr="00676D0C" w:rsidRDefault="00570EC1"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F01A6">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307517032"/>
      <w:docPartObj>
        <w:docPartGallery w:val="Page Numbers (Bottom of Page)"/>
        <w:docPartUnique/>
      </w:docPartObj>
    </w:sdtPr>
    <w:sdtContent>
      <w:p w:rsidR="00570EC1" w:rsidRPr="00676D0C" w:rsidRDefault="00570EC1"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F01A6">
          <w:rPr>
            <w:rFonts w:asciiTheme="minorHAnsi" w:hAnsiTheme="minorHAnsi"/>
            <w:noProof/>
            <w:color w:val="7F7F7F" w:themeColor="text1" w:themeTint="80"/>
          </w:rPr>
          <w:t>23</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719024049"/>
      <w:docPartObj>
        <w:docPartGallery w:val="Page Numbers (Bottom of Page)"/>
        <w:docPartUnique/>
      </w:docPartObj>
    </w:sdtPr>
    <w:sdtContent>
      <w:p w:rsidR="00570EC1" w:rsidRPr="00676D0C" w:rsidRDefault="00570EC1"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F01A6">
          <w:rPr>
            <w:rFonts w:asciiTheme="minorHAnsi" w:hAnsiTheme="minorHAnsi"/>
            <w:noProof/>
            <w:color w:val="7F7F7F" w:themeColor="text1" w:themeTint="80"/>
          </w:rPr>
          <w:t>34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528066490"/>
      <w:docPartObj>
        <w:docPartGallery w:val="Page Numbers (Bottom of Page)"/>
        <w:docPartUnique/>
      </w:docPartObj>
    </w:sdtPr>
    <w:sdtContent>
      <w:p w:rsidR="00570EC1" w:rsidRPr="00676D0C" w:rsidRDefault="00570EC1" w:rsidP="00127C07">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F01A6">
          <w:rPr>
            <w:rFonts w:asciiTheme="minorHAnsi" w:hAnsiTheme="minorHAnsi"/>
            <w:noProof/>
            <w:color w:val="7F7F7F" w:themeColor="text1" w:themeTint="80"/>
          </w:rPr>
          <w:t>33</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999952415"/>
      <w:docPartObj>
        <w:docPartGallery w:val="Page Numbers (Bottom of Page)"/>
        <w:docPartUnique/>
      </w:docPartObj>
    </w:sdtPr>
    <w:sdtContent>
      <w:p w:rsidR="00570EC1" w:rsidRPr="00676D0C" w:rsidRDefault="00570EC1" w:rsidP="0063598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F01A6">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869611972"/>
      <w:docPartObj>
        <w:docPartGallery w:val="Page Numbers (Bottom of Page)"/>
        <w:docPartUnique/>
      </w:docPartObj>
    </w:sdtPr>
    <w:sdtContent>
      <w:p w:rsidR="00570EC1" w:rsidRPr="00676D0C" w:rsidRDefault="00570EC1" w:rsidP="0063598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CCAP</w:t>
        </w:r>
        <w:r w:rsidRPr="00676D0C">
          <w:rPr>
            <w:rFonts w:asciiTheme="minorHAnsi" w:hAnsiTheme="minorHAnsi"/>
            <w:color w:val="7F7F7F" w:themeColor="text1" w:themeTint="80"/>
          </w:rPr>
          <w:t xml:space="preserve"> | </w:t>
        </w:r>
        <w:r>
          <w:rPr>
            <w:rFonts w:asciiTheme="minorHAnsi" w:hAnsiTheme="minorHAnsi"/>
            <w:color w:val="7F7F7F" w:themeColor="text1" w:themeTint="80"/>
          </w:rPr>
          <w:t xml:space="preserve">Construction of Visitors Center at </w:t>
        </w:r>
        <w:proofErr w:type="spellStart"/>
        <w:r>
          <w:rPr>
            <w:rFonts w:asciiTheme="minorHAnsi" w:hAnsiTheme="minorHAnsi"/>
            <w:color w:val="7F7F7F" w:themeColor="text1" w:themeTint="80"/>
          </w:rPr>
          <w:t>Hithadhoo</w:t>
        </w:r>
        <w:proofErr w:type="spellEnd"/>
        <w:r>
          <w:rPr>
            <w:rFonts w:asciiTheme="minorHAnsi" w:hAnsiTheme="minorHAnsi"/>
            <w:color w:val="7F7F7F" w:themeColor="text1" w:themeTint="80"/>
          </w:rPr>
          <w:t xml:space="preserve"> Ecotourism Facility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2F01A6">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EC1" w:rsidRDefault="00570EC1">
      <w:r>
        <w:separator/>
      </w:r>
    </w:p>
  </w:footnote>
  <w:footnote w:type="continuationSeparator" w:id="0">
    <w:p w:rsidR="00570EC1" w:rsidRDefault="00570EC1">
      <w:r>
        <w:continuationSeparator/>
      </w:r>
    </w:p>
  </w:footnote>
  <w:footnote w:id="1">
    <w:p w:rsidR="00570EC1" w:rsidRPr="00E25AC8" w:rsidRDefault="00570EC1">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570EC1" w:rsidRPr="00E25AC8" w:rsidRDefault="00570EC1"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570EC1" w:rsidRDefault="00570EC1"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570EC1" w:rsidRPr="00E25AC8" w:rsidRDefault="00570EC1"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570EC1" w:rsidRPr="00E25AC8" w:rsidRDefault="00570EC1"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570EC1" w:rsidRDefault="00570EC1"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570EC1" w:rsidRDefault="00570EC1" w:rsidP="003531F4">
      <w:pPr>
        <w:pStyle w:val="FootnoteText"/>
      </w:pPr>
      <w:r>
        <w:rPr>
          <w:rStyle w:val="FootnoteReference"/>
        </w:rPr>
        <w:footnoteRef/>
      </w:r>
      <w:r>
        <w:t xml:space="preserve"> This requirement also applies to contracts executed by the Bidder as JV member.</w:t>
      </w:r>
    </w:p>
  </w:footnote>
  <w:footnote w:id="8">
    <w:p w:rsidR="00570EC1" w:rsidRDefault="00570EC1"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570EC1" w:rsidRDefault="00570EC1"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570EC1" w:rsidDel="006A3E0C" w:rsidRDefault="00570EC1" w:rsidP="003531F4">
      <w:pPr>
        <w:pStyle w:val="FootnoteText"/>
      </w:pPr>
      <w:r>
        <w:rPr>
          <w:rStyle w:val="FootnoteReference"/>
        </w:rPr>
        <w:footnoteRef/>
      </w:r>
      <w:r>
        <w:t xml:space="preserve"> Substantial completion shall be based on 80% or more works completed under the contract.</w:t>
      </w:r>
    </w:p>
  </w:footnote>
  <w:footnote w:id="11">
    <w:p w:rsidR="00570EC1" w:rsidRDefault="00570EC1"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570EC1" w:rsidRDefault="00570EC1"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570EC1" w:rsidRDefault="00570EC1"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570EC1" w:rsidRDefault="00570EC1"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570EC1" w:rsidDel="008E2812" w:rsidRDefault="00570EC1"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570EC1" w:rsidRDefault="00570EC1"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570EC1" w:rsidRDefault="00570EC1">
      <w:pPr>
        <w:pStyle w:val="FootnoteText"/>
      </w:pPr>
      <w:r>
        <w:rPr>
          <w:rStyle w:val="FootnoteReference"/>
        </w:rPr>
        <w:footnoteRef/>
      </w:r>
      <w:r>
        <w:t xml:space="preserve"> </w:t>
      </w:r>
      <w:r>
        <w:tab/>
        <w:t>If applicable.</w:t>
      </w:r>
    </w:p>
  </w:footnote>
  <w:footnote w:id="18">
    <w:p w:rsidR="00570EC1" w:rsidRDefault="00570EC1"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570EC1" w:rsidRDefault="00570EC1"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570EC1" w:rsidRDefault="00570EC1"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570EC1" w:rsidRDefault="00570EC1"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570EC1" w:rsidRDefault="00570EC1"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570EC1" w:rsidRDefault="00570EC1"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570EC1" w:rsidRDefault="00570EC1"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570EC1" w:rsidRPr="0026306C" w:rsidRDefault="00570EC1">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570EC1" w:rsidRPr="0026306C" w:rsidRDefault="00570EC1"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570EC1" w:rsidRPr="0026306C" w:rsidRDefault="00570EC1"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570EC1" w:rsidRPr="0026306C" w:rsidRDefault="00570EC1"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570EC1" w:rsidRPr="0026306C" w:rsidRDefault="00570EC1"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570EC1" w:rsidRPr="0026306C" w:rsidRDefault="00570EC1"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570EC1" w:rsidRPr="0026306C" w:rsidRDefault="00570EC1"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570EC1" w:rsidRPr="0026306C" w:rsidRDefault="00570EC1"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570EC1" w:rsidRPr="005F76C3" w:rsidRDefault="00570EC1"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570EC1" w:rsidRPr="0026306C" w:rsidRDefault="00570EC1">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570EC1" w:rsidRDefault="00570EC1"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570EC1" w:rsidRDefault="00570EC1"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570EC1" w:rsidRDefault="00570EC1"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570EC1" w:rsidRDefault="00570EC1"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570EC1" w:rsidRDefault="00570EC1"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570EC1" w:rsidRDefault="00570EC1"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570EC1" w:rsidRDefault="00570EC1"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570EC1" w:rsidRPr="00765DB8" w:rsidRDefault="00570EC1"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570EC1" w:rsidRPr="00765DB8" w:rsidRDefault="00570EC1"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570EC1" w:rsidRPr="00765DB8" w:rsidRDefault="00570EC1"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570EC1" w:rsidRPr="00BC09A2" w:rsidRDefault="00570EC1"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570EC1" w:rsidRPr="0080505F" w:rsidRDefault="00570EC1"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Default="00570EC1"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9471D9" w:rsidRDefault="00570EC1"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9471D9" w:rsidRDefault="00570EC1"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Default="00570EC1"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B669EB" w:rsidRDefault="00570EC1"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B669EB" w:rsidRDefault="00570EC1"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3D6FE5" w:rsidRDefault="00570EC1"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3D6FE5" w:rsidRDefault="00570EC1"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3D6FE5" w:rsidRDefault="00570EC1"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1" w:rsidRPr="00C9100A" w:rsidRDefault="00570EC1"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1745">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01A6"/>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0EC1"/>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598B"/>
    <w:rsid w:val="00636D0B"/>
    <w:rsid w:val="006542E1"/>
    <w:rsid w:val="0066007D"/>
    <w:rsid w:val="00660280"/>
    <w:rsid w:val="00665BE1"/>
    <w:rsid w:val="00666C18"/>
    <w:rsid w:val="00667D09"/>
    <w:rsid w:val="00672226"/>
    <w:rsid w:val="00672734"/>
    <w:rsid w:val="00676D0C"/>
    <w:rsid w:val="00677438"/>
    <w:rsid w:val="00685604"/>
    <w:rsid w:val="0069301A"/>
    <w:rsid w:val="006967AA"/>
    <w:rsid w:val="006A065C"/>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E5874"/>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worldbank.org/debarr." TargetMode="External"/><Relationship Id="rId26" Type="http://schemas.openxmlformats.org/officeDocument/2006/relationships/footer" Target="footer4.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yperlink" Target="http://www.finance.gov.mv" TargetMode="Externa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3.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Mohamed.shafraz@finance.gov.mv" TargetMode="External"/><Relationship Id="rId29" Type="http://schemas.openxmlformats.org/officeDocument/2006/relationships/header" Target="header11.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6.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5.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3.xml"/><Relationship Id="rId44" Type="http://schemas.openxmlformats.org/officeDocument/2006/relationships/header" Target="header2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yperlink" Target="mailto:tender@finance.gov.mv" TargetMode="Externa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eader" Target="header28.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12A3C-FCDB-4CFD-8862-8EF497787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3969</TotalTime>
  <Pages>110</Pages>
  <Words>24590</Words>
  <Characters>137144</Characters>
  <Application>Microsoft Office Word</Application>
  <DocSecurity>0</DocSecurity>
  <Lines>1142</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161412</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Mohamed Shafraz</cp:lastModifiedBy>
  <cp:revision>7</cp:revision>
  <cp:lastPrinted>2013-08-16T10:18:00Z</cp:lastPrinted>
  <dcterms:created xsi:type="dcterms:W3CDTF">2015-05-04T09:28:00Z</dcterms:created>
  <dcterms:modified xsi:type="dcterms:W3CDTF">2015-05-17T06:10:00Z</dcterms:modified>
</cp:coreProperties>
</file>