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B9D66BA" w:rsidR="00070046" w:rsidRDefault="00070046" w:rsidP="00E05ED1">
      <w:pPr>
        <w:spacing w:after="240" w:line="259" w:lineRule="auto"/>
        <w:jc w:val="center"/>
        <w:rPr>
          <w:b/>
          <w:bCs/>
          <w:color w:val="000000"/>
          <w:sz w:val="40"/>
          <w:szCs w:val="40"/>
        </w:rPr>
      </w:pPr>
      <w:r>
        <w:rPr>
          <w:b/>
          <w:bCs/>
          <w:color w:val="000000"/>
          <w:sz w:val="40"/>
          <w:szCs w:val="40"/>
        </w:rPr>
        <w:t>TES/</w:t>
      </w:r>
      <w:r w:rsidR="00983EE5">
        <w:rPr>
          <w:b/>
          <w:bCs/>
          <w:color w:val="000000"/>
          <w:sz w:val="40"/>
          <w:szCs w:val="40"/>
        </w:rPr>
        <w:t>2022</w:t>
      </w:r>
      <w:r w:rsidR="002438DE">
        <w:rPr>
          <w:b/>
          <w:bCs/>
          <w:color w:val="000000"/>
          <w:sz w:val="40"/>
          <w:szCs w:val="40"/>
        </w:rPr>
        <w:t>/G-</w:t>
      </w:r>
      <w:r w:rsidR="00983EE5">
        <w:rPr>
          <w:b/>
          <w:bCs/>
          <w:color w:val="000000"/>
          <w:sz w:val="40"/>
          <w:szCs w:val="40"/>
        </w:rPr>
        <w:t>0</w:t>
      </w:r>
      <w:r w:rsidR="005E57E4">
        <w:rPr>
          <w:b/>
          <w:bCs/>
          <w:color w:val="000000"/>
          <w:sz w:val="40"/>
          <w:szCs w:val="40"/>
        </w:rPr>
        <w:t>16</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2CDD1EF3" w:rsidR="00070046" w:rsidRPr="002438DE" w:rsidRDefault="005E57E4" w:rsidP="00CF52CE">
            <w:pPr>
              <w:spacing w:after="240" w:line="259" w:lineRule="auto"/>
              <w:jc w:val="center"/>
              <w:rPr>
                <w:rFonts w:asciiTheme="majorBidi" w:hAnsiTheme="majorBidi" w:cstheme="majorBidi"/>
                <w:b/>
                <w:bCs/>
                <w:sz w:val="44"/>
                <w:szCs w:val="44"/>
              </w:rPr>
            </w:pPr>
            <w:r w:rsidRPr="005E57E4">
              <w:rPr>
                <w:b/>
                <w:bCs/>
                <w:color w:val="000000"/>
                <w:sz w:val="40"/>
                <w:szCs w:val="40"/>
              </w:rPr>
              <w:t>Supply and Delivery of ICT Equipment to Maldives Immigration</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6AC25F38"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5E57E4">
        <w:rPr>
          <w:b/>
          <w:bCs/>
          <w:noProof/>
          <w:color w:val="FF0000"/>
          <w:spacing w:val="30"/>
          <w:sz w:val="32"/>
          <w:szCs w:val="32"/>
        </w:rPr>
        <w:t>December,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1C9E9205" w:rsidR="00070046" w:rsidRPr="006125EB" w:rsidRDefault="00070046" w:rsidP="00CF52CE">
            <w:pPr>
              <w:tabs>
                <w:tab w:val="right" w:pos="7272"/>
              </w:tabs>
              <w:spacing w:before="60" w:after="60"/>
              <w:rPr>
                <w:b/>
                <w:bCs/>
              </w:rPr>
            </w:pPr>
            <w:r>
              <w:t xml:space="preserve">The name of the ICB is: </w:t>
            </w:r>
            <w:r w:rsidR="005E57E4" w:rsidRPr="005E57E4">
              <w:rPr>
                <w:b/>
                <w:bCs/>
                <w:color w:val="FF0000"/>
              </w:rPr>
              <w:t>Supply and Delivery of ICT Equipment to Maldives Immigration</w:t>
            </w:r>
          </w:p>
          <w:p w14:paraId="376DF665" w14:textId="30285D6D"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983EE5">
              <w:rPr>
                <w:b/>
                <w:bCs/>
                <w:color w:val="FF0000"/>
              </w:rPr>
              <w:t>(IUL)13-K/13/</w:t>
            </w:r>
            <w:r w:rsidR="00983EE5" w:rsidRPr="00983EE5">
              <w:rPr>
                <w:b/>
                <w:bCs/>
                <w:color w:val="FF0000"/>
              </w:rPr>
              <w:t>2022</w:t>
            </w:r>
            <w:r w:rsidR="002E1CF7" w:rsidRPr="00983EE5">
              <w:rPr>
                <w:b/>
                <w:bCs/>
                <w:color w:val="FF0000"/>
              </w:rPr>
              <w:t>/</w:t>
            </w:r>
            <w:r w:rsidR="005E57E4">
              <w:rPr>
                <w:b/>
                <w:bCs/>
                <w:color w:val="FF0000"/>
              </w:rPr>
              <w:t>327</w:t>
            </w:r>
          </w:p>
          <w:p w14:paraId="5B6A9213" w14:textId="77777777" w:rsidR="00552326" w:rsidRDefault="00070046" w:rsidP="00070046">
            <w:pPr>
              <w:tabs>
                <w:tab w:val="right" w:pos="7272"/>
              </w:tabs>
              <w:rPr>
                <w:b/>
                <w:bCs/>
                <w:color w:val="FF0000"/>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w:t>
            </w:r>
          </w:p>
          <w:p w14:paraId="485D1BF5" w14:textId="77777777" w:rsidR="005E57E4" w:rsidRPr="005E57E4" w:rsidRDefault="005E57E4" w:rsidP="005E57E4">
            <w:pPr>
              <w:tabs>
                <w:tab w:val="right" w:pos="7272"/>
              </w:tabs>
              <w:spacing w:before="60" w:after="60"/>
              <w:rPr>
                <w:b/>
                <w:bCs/>
                <w:color w:val="FF0000"/>
              </w:rPr>
            </w:pPr>
            <w:r w:rsidRPr="005E57E4">
              <w:rPr>
                <w:b/>
                <w:bCs/>
                <w:color w:val="FF0000"/>
              </w:rPr>
              <w:t>Lot 1: Server</w:t>
            </w:r>
          </w:p>
          <w:p w14:paraId="72E49494" w14:textId="0DEC5E21" w:rsidR="005E57E4" w:rsidRPr="008B66E1" w:rsidRDefault="005E57E4" w:rsidP="005E57E4">
            <w:pPr>
              <w:tabs>
                <w:tab w:val="right" w:pos="7272"/>
              </w:tabs>
              <w:spacing w:before="60" w:after="60"/>
              <w:rPr>
                <w:b/>
                <w:bCs/>
                <w:i/>
                <w:iCs/>
                <w:szCs w:val="24"/>
              </w:rPr>
            </w:pPr>
            <w:r w:rsidRPr="005E57E4">
              <w:rPr>
                <w:b/>
                <w:bCs/>
                <w:color w:val="FF0000"/>
              </w:rPr>
              <w:t>Lot 2: Supply and Installation of Integrated Data Center</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364B3A0F" w:rsidR="00070046" w:rsidRPr="001334B4" w:rsidRDefault="00CC46EE" w:rsidP="00070046">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1D04D7B7" w14:textId="142DC77C" w:rsidR="00070046" w:rsidRPr="001334B4" w:rsidRDefault="00CC46EE" w:rsidP="00070046">
            <w:pPr>
              <w:pStyle w:val="Default"/>
              <w:ind w:left="720"/>
              <w:rPr>
                <w:bCs/>
                <w:color w:val="auto"/>
                <w:szCs w:val="20"/>
                <w:lang w:val="en-GB"/>
              </w:rPr>
            </w:pPr>
            <w:r>
              <w:rPr>
                <w:bCs/>
                <w:color w:val="auto"/>
                <w:szCs w:val="20"/>
                <w:lang w:val="en-GB"/>
              </w:rPr>
              <w:t xml:space="preserve">Asst. </w:t>
            </w:r>
            <w:r w:rsidR="00070046" w:rsidRPr="001334B4">
              <w:rPr>
                <w:bCs/>
                <w:color w:val="auto"/>
                <w:szCs w:val="20"/>
                <w:lang w:val="en-GB"/>
              </w:rPr>
              <w:t xml:space="preserve">Procurement </w:t>
            </w:r>
            <w:r w:rsidR="00070046">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3A2BF33B"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hyperlink r:id="rId19" w:history="1">
              <w:r w:rsidR="00CC46EE" w:rsidRPr="004E4D72">
                <w:rPr>
                  <w:rStyle w:val="Hyperlink"/>
                  <w:lang w:val="it-IT"/>
                </w:rPr>
                <w:t>ibrahim.aflah@finance.gov.mv</w:t>
              </w:r>
            </w:hyperlink>
            <w:r w:rsidR="00CC46EE">
              <w:rPr>
                <w:color w:val="FF0000"/>
                <w:lang w:val="it-IT"/>
              </w:rPr>
              <w:t xml:space="preserve"> </w:t>
            </w:r>
            <w:hyperlink r:id="rId20"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1" w:history="1">
              <w:r w:rsidR="00CF52CE" w:rsidRPr="00F52A3E">
                <w:rPr>
                  <w:rStyle w:val="Hyperlink"/>
                  <w:lang w:val="it-IT"/>
                </w:rPr>
                <w:t>tender@finance.gov.mv</w:t>
              </w:r>
            </w:hyperlink>
          </w:p>
          <w:p w14:paraId="653765BE" w14:textId="258CDBCD" w:rsidR="0025710C" w:rsidRDefault="00070046" w:rsidP="00624489">
            <w:pPr>
              <w:tabs>
                <w:tab w:val="right" w:pos="7254"/>
              </w:tabs>
              <w:rPr>
                <w:color w:val="FF0000"/>
                <w:sz w:val="22"/>
                <w:szCs w:val="22"/>
              </w:rPr>
            </w:pPr>
            <w:r w:rsidRPr="004A50A8">
              <w:rPr>
                <w:sz w:val="22"/>
                <w:szCs w:val="22"/>
              </w:rPr>
              <w:lastRenderedPageBreak/>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5E57E4">
              <w:rPr>
                <w:b/>
                <w:bCs/>
                <w:color w:val="FF0000"/>
                <w:sz w:val="22"/>
                <w:szCs w:val="22"/>
              </w:rPr>
              <w:t>12</w:t>
            </w:r>
            <w:r w:rsidR="005E57E4" w:rsidRPr="005E57E4">
              <w:rPr>
                <w:b/>
                <w:bCs/>
                <w:color w:val="FF0000"/>
                <w:sz w:val="22"/>
                <w:szCs w:val="22"/>
                <w:vertAlign w:val="superscript"/>
              </w:rPr>
              <w:t>th</w:t>
            </w:r>
            <w:r w:rsidR="005E57E4">
              <w:rPr>
                <w:b/>
                <w:bCs/>
                <w:color w:val="FF0000"/>
                <w:sz w:val="22"/>
                <w:szCs w:val="22"/>
              </w:rPr>
              <w:t xml:space="preserve"> December</w:t>
            </w:r>
            <w:r w:rsidR="00983EE5">
              <w:rPr>
                <w:b/>
                <w:bCs/>
                <w:color w:val="FF0000"/>
                <w:sz w:val="22"/>
                <w:szCs w:val="22"/>
              </w:rPr>
              <w:t xml:space="preserve"> 2022</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27D91E51"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4F6CD0E8" w14:textId="36F209D2" w:rsidR="005E57E4" w:rsidRDefault="005E57E4" w:rsidP="00CF52CE">
            <w:pPr>
              <w:pStyle w:val="ListParagraph"/>
              <w:numPr>
                <w:ilvl w:val="3"/>
                <w:numId w:val="76"/>
              </w:numPr>
              <w:tabs>
                <w:tab w:val="right" w:pos="682"/>
                <w:tab w:val="right" w:pos="1249"/>
              </w:tabs>
              <w:spacing w:before="120" w:after="120"/>
              <w:ind w:left="252"/>
              <w:rPr>
                <w:szCs w:val="24"/>
              </w:rPr>
            </w:pPr>
            <w:r>
              <w:rPr>
                <w:szCs w:val="24"/>
              </w:rPr>
              <w:t>Manufacture Authorization Letter</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5D7716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F6B5FAF"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Defense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lastRenderedPageBreak/>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00B3D6E9" w14:textId="77777777" w:rsidR="005E57E4" w:rsidRDefault="005E57E4" w:rsidP="005E57E4">
            <w:pPr>
              <w:tabs>
                <w:tab w:val="right" w:pos="7254"/>
              </w:tabs>
              <w:spacing w:before="180" w:after="180" w:line="276" w:lineRule="auto"/>
              <w:rPr>
                <w:color w:val="FF0000"/>
                <w:sz w:val="22"/>
                <w:szCs w:val="22"/>
              </w:rPr>
            </w:pPr>
            <w:r>
              <w:rPr>
                <w:sz w:val="22"/>
                <w:szCs w:val="22"/>
              </w:rPr>
              <w:t xml:space="preserve">The Tenderer shall furnish a Bid security for each Lot in the amount </w:t>
            </w:r>
            <w:proofErr w:type="gramStart"/>
            <w:r>
              <w:rPr>
                <w:sz w:val="22"/>
                <w:szCs w:val="22"/>
              </w:rPr>
              <w:t xml:space="preserve">of </w:t>
            </w:r>
            <w:r>
              <w:rPr>
                <w:color w:val="FF0000"/>
                <w:sz w:val="22"/>
                <w:szCs w:val="22"/>
              </w:rPr>
              <w:t>:</w:t>
            </w:r>
            <w:proofErr w:type="gramEnd"/>
          </w:p>
          <w:tbl>
            <w:tblPr>
              <w:tblStyle w:val="TableGrid"/>
              <w:tblW w:w="7200" w:type="dxa"/>
              <w:tblLayout w:type="fixed"/>
              <w:tblLook w:val="04A0" w:firstRow="1" w:lastRow="0" w:firstColumn="1" w:lastColumn="0" w:noHBand="0" w:noVBand="1"/>
            </w:tblPr>
            <w:tblGrid>
              <w:gridCol w:w="1526"/>
              <w:gridCol w:w="3783"/>
              <w:gridCol w:w="1891"/>
            </w:tblGrid>
            <w:tr w:rsidR="005E57E4" w14:paraId="05B464D2" w14:textId="77777777" w:rsidTr="005E57E4">
              <w:tc>
                <w:tcPr>
                  <w:tcW w:w="1525" w:type="dxa"/>
                  <w:tcBorders>
                    <w:top w:val="single" w:sz="4" w:space="0" w:color="auto"/>
                    <w:left w:val="single" w:sz="4" w:space="0" w:color="auto"/>
                    <w:bottom w:val="single" w:sz="4" w:space="0" w:color="auto"/>
                    <w:right w:val="single" w:sz="4" w:space="0" w:color="auto"/>
                  </w:tcBorders>
                  <w:hideMark/>
                </w:tcPr>
                <w:p w14:paraId="0E484D83" w14:textId="77777777" w:rsidR="005E57E4" w:rsidRDefault="005E57E4" w:rsidP="005E57E4">
                  <w:pPr>
                    <w:framePr w:hSpace="180" w:wrap="around" w:hAnchor="margin" w:y="-869"/>
                    <w:tabs>
                      <w:tab w:val="right" w:pos="7254"/>
                    </w:tabs>
                    <w:spacing w:before="180" w:after="180" w:line="276" w:lineRule="auto"/>
                    <w:jc w:val="center"/>
                    <w:rPr>
                      <w:color w:val="FF0000"/>
                      <w:sz w:val="22"/>
                      <w:szCs w:val="22"/>
                    </w:rPr>
                  </w:pPr>
                  <w:r>
                    <w:rPr>
                      <w:b/>
                      <w:bCs/>
                      <w:i/>
                      <w:iCs/>
                      <w:szCs w:val="24"/>
                    </w:rPr>
                    <w:t>Lot No.</w:t>
                  </w:r>
                </w:p>
              </w:tc>
              <w:tc>
                <w:tcPr>
                  <w:tcW w:w="3780" w:type="dxa"/>
                  <w:tcBorders>
                    <w:top w:val="single" w:sz="4" w:space="0" w:color="auto"/>
                    <w:left w:val="single" w:sz="4" w:space="0" w:color="auto"/>
                    <w:bottom w:val="single" w:sz="4" w:space="0" w:color="auto"/>
                    <w:right w:val="single" w:sz="4" w:space="0" w:color="auto"/>
                  </w:tcBorders>
                  <w:hideMark/>
                </w:tcPr>
                <w:p w14:paraId="06D25C28" w14:textId="77777777" w:rsidR="005E57E4" w:rsidRDefault="005E57E4" w:rsidP="005E57E4">
                  <w:pPr>
                    <w:framePr w:hSpace="180" w:wrap="around" w:hAnchor="margin" w:y="-869"/>
                    <w:tabs>
                      <w:tab w:val="right" w:pos="7272"/>
                    </w:tabs>
                    <w:spacing w:before="60" w:after="60"/>
                    <w:jc w:val="center"/>
                    <w:rPr>
                      <w:b/>
                      <w:bCs/>
                      <w:i/>
                      <w:iCs/>
                      <w:szCs w:val="24"/>
                    </w:rPr>
                  </w:pPr>
                  <w:r>
                    <w:rPr>
                      <w:b/>
                      <w:bCs/>
                      <w:i/>
                      <w:iCs/>
                      <w:szCs w:val="24"/>
                    </w:rPr>
                    <w:t>Details</w:t>
                  </w:r>
                </w:p>
              </w:tc>
              <w:tc>
                <w:tcPr>
                  <w:tcW w:w="1890" w:type="dxa"/>
                  <w:tcBorders>
                    <w:top w:val="single" w:sz="4" w:space="0" w:color="auto"/>
                    <w:left w:val="single" w:sz="4" w:space="0" w:color="auto"/>
                    <w:bottom w:val="single" w:sz="4" w:space="0" w:color="auto"/>
                    <w:right w:val="single" w:sz="4" w:space="0" w:color="auto"/>
                  </w:tcBorders>
                  <w:hideMark/>
                </w:tcPr>
                <w:p w14:paraId="4F262709" w14:textId="77777777" w:rsidR="005E57E4" w:rsidRDefault="005E57E4" w:rsidP="005E57E4">
                  <w:pPr>
                    <w:framePr w:hSpace="180" w:wrap="around" w:hAnchor="margin" w:y="-869"/>
                    <w:tabs>
                      <w:tab w:val="right" w:pos="7254"/>
                    </w:tabs>
                    <w:spacing w:before="180" w:after="180" w:line="276" w:lineRule="auto"/>
                    <w:jc w:val="center"/>
                    <w:rPr>
                      <w:color w:val="FF0000"/>
                      <w:sz w:val="22"/>
                      <w:szCs w:val="22"/>
                    </w:rPr>
                  </w:pPr>
                  <w:r>
                    <w:rPr>
                      <w:b/>
                      <w:bCs/>
                      <w:i/>
                      <w:iCs/>
                      <w:szCs w:val="24"/>
                    </w:rPr>
                    <w:t>Bid Security</w:t>
                  </w:r>
                </w:p>
              </w:tc>
            </w:tr>
            <w:tr w:rsidR="005E57E4" w14:paraId="5ED6BB0E" w14:textId="77777777" w:rsidTr="005E57E4">
              <w:tc>
                <w:tcPr>
                  <w:tcW w:w="1525" w:type="dxa"/>
                  <w:tcBorders>
                    <w:top w:val="single" w:sz="4" w:space="0" w:color="auto"/>
                    <w:left w:val="single" w:sz="4" w:space="0" w:color="auto"/>
                    <w:bottom w:val="single" w:sz="4" w:space="0" w:color="auto"/>
                    <w:right w:val="single" w:sz="4" w:space="0" w:color="auto"/>
                  </w:tcBorders>
                  <w:hideMark/>
                </w:tcPr>
                <w:p w14:paraId="748C6E4E" w14:textId="77777777" w:rsidR="005E57E4" w:rsidRDefault="005E57E4" w:rsidP="005E57E4">
                  <w:pPr>
                    <w:framePr w:hSpace="180" w:wrap="around" w:hAnchor="margin" w:y="-869"/>
                    <w:tabs>
                      <w:tab w:val="right" w:pos="7272"/>
                    </w:tabs>
                    <w:spacing w:before="60" w:after="60"/>
                    <w:rPr>
                      <w:b/>
                      <w:bCs/>
                      <w:szCs w:val="24"/>
                    </w:rPr>
                  </w:pPr>
                  <w:r>
                    <w:rPr>
                      <w:rFonts w:asciiTheme="majorBidi" w:hAnsiTheme="majorBidi" w:cstheme="majorBidi"/>
                      <w:i/>
                      <w:iCs/>
                    </w:rPr>
                    <w:t xml:space="preserve">Lot 1: </w:t>
                  </w:r>
                </w:p>
              </w:tc>
              <w:tc>
                <w:tcPr>
                  <w:tcW w:w="3780" w:type="dxa"/>
                  <w:tcBorders>
                    <w:top w:val="single" w:sz="4" w:space="0" w:color="auto"/>
                    <w:left w:val="single" w:sz="4" w:space="0" w:color="auto"/>
                    <w:bottom w:val="single" w:sz="4" w:space="0" w:color="auto"/>
                    <w:right w:val="single" w:sz="4" w:space="0" w:color="auto"/>
                  </w:tcBorders>
                  <w:hideMark/>
                </w:tcPr>
                <w:p w14:paraId="4A709202" w14:textId="625D1B8A" w:rsidR="005E57E4" w:rsidRDefault="005E57E4" w:rsidP="005E57E4">
                  <w:pPr>
                    <w:framePr w:hSpace="180" w:wrap="around" w:hAnchor="margin" w:y="-869"/>
                    <w:tabs>
                      <w:tab w:val="right" w:pos="7272"/>
                    </w:tabs>
                    <w:spacing w:before="60" w:after="60"/>
                    <w:rPr>
                      <w:b/>
                      <w:bCs/>
                    </w:rPr>
                  </w:pPr>
                  <w:r>
                    <w:rPr>
                      <w:rFonts w:asciiTheme="majorBidi" w:hAnsiTheme="majorBidi" w:cstheme="majorBidi"/>
                      <w:i/>
                      <w:iCs/>
                    </w:rPr>
                    <w:t>Server</w:t>
                  </w:r>
                </w:p>
              </w:tc>
              <w:tc>
                <w:tcPr>
                  <w:tcW w:w="1890" w:type="dxa"/>
                  <w:tcBorders>
                    <w:top w:val="single" w:sz="4" w:space="0" w:color="auto"/>
                    <w:left w:val="single" w:sz="4" w:space="0" w:color="auto"/>
                    <w:bottom w:val="single" w:sz="4" w:space="0" w:color="auto"/>
                    <w:right w:val="single" w:sz="4" w:space="0" w:color="auto"/>
                  </w:tcBorders>
                  <w:hideMark/>
                </w:tcPr>
                <w:p w14:paraId="5B9E3150" w14:textId="315FB120" w:rsidR="005E57E4" w:rsidRDefault="005E57E4" w:rsidP="005E57E4">
                  <w:pPr>
                    <w:framePr w:hSpace="180" w:wrap="around" w:hAnchor="margin" w:y="-869"/>
                  </w:pPr>
                  <w:r>
                    <w:rPr>
                      <w:b/>
                      <w:bCs/>
                      <w:szCs w:val="24"/>
                    </w:rPr>
                    <w:t>MVR 60,000.00 or equivalent in USD</w:t>
                  </w:r>
                </w:p>
              </w:tc>
            </w:tr>
            <w:tr w:rsidR="005E57E4" w14:paraId="020BC40E" w14:textId="77777777" w:rsidTr="005E57E4">
              <w:tc>
                <w:tcPr>
                  <w:tcW w:w="1525" w:type="dxa"/>
                  <w:tcBorders>
                    <w:top w:val="single" w:sz="4" w:space="0" w:color="auto"/>
                    <w:left w:val="single" w:sz="4" w:space="0" w:color="auto"/>
                    <w:bottom w:val="single" w:sz="4" w:space="0" w:color="auto"/>
                    <w:right w:val="single" w:sz="4" w:space="0" w:color="auto"/>
                  </w:tcBorders>
                  <w:hideMark/>
                </w:tcPr>
                <w:p w14:paraId="6ED2DEA0" w14:textId="77777777" w:rsidR="005E57E4" w:rsidRDefault="005E57E4" w:rsidP="005E57E4">
                  <w:pPr>
                    <w:framePr w:hSpace="180" w:wrap="around" w:hAnchor="margin" w:y="-869"/>
                  </w:pPr>
                  <w:r>
                    <w:rPr>
                      <w:rFonts w:asciiTheme="majorBidi" w:hAnsiTheme="majorBidi" w:cstheme="majorBidi"/>
                      <w:i/>
                      <w:iCs/>
                    </w:rPr>
                    <w:t>Lot 2</w:t>
                  </w:r>
                </w:p>
              </w:tc>
              <w:tc>
                <w:tcPr>
                  <w:tcW w:w="3780" w:type="dxa"/>
                  <w:tcBorders>
                    <w:top w:val="single" w:sz="4" w:space="0" w:color="auto"/>
                    <w:left w:val="single" w:sz="4" w:space="0" w:color="auto"/>
                    <w:bottom w:val="single" w:sz="4" w:space="0" w:color="auto"/>
                    <w:right w:val="single" w:sz="4" w:space="0" w:color="auto"/>
                  </w:tcBorders>
                  <w:hideMark/>
                </w:tcPr>
                <w:p w14:paraId="2AB39876" w14:textId="755E6EEC" w:rsidR="005E57E4" w:rsidRDefault="005E57E4" w:rsidP="005E57E4">
                  <w:pPr>
                    <w:framePr w:hSpace="180" w:wrap="around" w:hAnchor="margin" w:y="-869"/>
                    <w:tabs>
                      <w:tab w:val="right" w:pos="7272"/>
                    </w:tabs>
                    <w:spacing w:before="60" w:after="60"/>
                    <w:rPr>
                      <w:b/>
                      <w:bCs/>
                      <w:szCs w:val="24"/>
                    </w:rPr>
                  </w:pPr>
                  <w:r w:rsidRPr="005E57E4">
                    <w:rPr>
                      <w:rFonts w:asciiTheme="majorBidi" w:hAnsiTheme="majorBidi" w:cstheme="majorBidi"/>
                      <w:i/>
                      <w:iCs/>
                    </w:rPr>
                    <w:t>Supply and Installation of Integrated Data Center</w:t>
                  </w:r>
                </w:p>
              </w:tc>
              <w:tc>
                <w:tcPr>
                  <w:tcW w:w="1890" w:type="dxa"/>
                  <w:tcBorders>
                    <w:top w:val="single" w:sz="4" w:space="0" w:color="auto"/>
                    <w:left w:val="single" w:sz="4" w:space="0" w:color="auto"/>
                    <w:bottom w:val="single" w:sz="4" w:space="0" w:color="auto"/>
                    <w:right w:val="single" w:sz="4" w:space="0" w:color="auto"/>
                  </w:tcBorders>
                  <w:hideMark/>
                </w:tcPr>
                <w:p w14:paraId="46ECB5EB" w14:textId="4D3EE2C7" w:rsidR="005E57E4" w:rsidRDefault="005E57E4" w:rsidP="005E57E4">
                  <w:pPr>
                    <w:framePr w:hSpace="180" w:wrap="around" w:hAnchor="margin" w:y="-869"/>
                  </w:pPr>
                  <w:r>
                    <w:rPr>
                      <w:b/>
                      <w:bCs/>
                      <w:szCs w:val="24"/>
                    </w:rPr>
                    <w:t>MVR 13,000.00 or equivalent in USD</w:t>
                  </w:r>
                </w:p>
              </w:tc>
            </w:tr>
          </w:tbl>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5E9EB8FA" w:rsidR="001C7F0A" w:rsidRDefault="002B4D97" w:rsidP="00624489">
            <w:pPr>
              <w:tabs>
                <w:tab w:val="right" w:pos="7254"/>
              </w:tabs>
              <w:spacing w:before="120" w:after="120"/>
              <w:jc w:val="both"/>
              <w:rPr>
                <w:b/>
                <w:bCs/>
              </w:rPr>
            </w:pPr>
            <w:r w:rsidRPr="002E1CF7">
              <w:rPr>
                <w:b/>
                <w:bCs/>
              </w:rPr>
              <w:t>TES/</w:t>
            </w:r>
            <w:r w:rsidR="00231F7D">
              <w:rPr>
                <w:b/>
                <w:bCs/>
              </w:rPr>
              <w:t>2022</w:t>
            </w:r>
            <w:r w:rsidR="002E1CF7" w:rsidRPr="002E1CF7">
              <w:rPr>
                <w:b/>
                <w:bCs/>
              </w:rPr>
              <w:t>/G-</w:t>
            </w:r>
            <w:r w:rsidR="00231F7D">
              <w:rPr>
                <w:b/>
                <w:bCs/>
              </w:rPr>
              <w:t>0</w:t>
            </w:r>
            <w:r w:rsidR="005E57E4">
              <w:rPr>
                <w:b/>
                <w:bCs/>
              </w:rPr>
              <w:t>16</w:t>
            </w:r>
          </w:p>
          <w:p w14:paraId="10DA92AD" w14:textId="34009703" w:rsidR="00053952" w:rsidRPr="002E1CF7" w:rsidRDefault="005E57E4" w:rsidP="00624489">
            <w:pPr>
              <w:tabs>
                <w:tab w:val="right" w:pos="7254"/>
              </w:tabs>
              <w:spacing w:before="120" w:after="120"/>
              <w:jc w:val="both"/>
              <w:rPr>
                <w:b/>
                <w:bCs/>
                <w:i/>
                <w:iCs/>
              </w:rPr>
            </w:pPr>
            <w:r w:rsidRPr="005E57E4">
              <w:rPr>
                <w:b/>
                <w:bCs/>
              </w:rPr>
              <w:t>Supply and Delivery of ICT Equipment to Maldives Immigration</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53348B19"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2" w:history="1">
              <w:r w:rsidR="00CC46EE" w:rsidRPr="004E4D72">
                <w:rPr>
                  <w:rStyle w:val="Hyperlink"/>
                  <w:i/>
                  <w:iCs/>
                  <w:lang w:val="it-IT"/>
                </w:rPr>
                <w:t>ibrahim.aflah@finance.gov.mv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5E57E4" w:rsidP="0025710C">
            <w:pPr>
              <w:pStyle w:val="BodyText"/>
              <w:tabs>
                <w:tab w:val="left" w:pos="1521"/>
              </w:tabs>
              <w:rPr>
                <w:i/>
                <w:iCs/>
                <w:color w:val="FF0000"/>
                <w:lang w:val="it-IT"/>
              </w:rPr>
            </w:pPr>
            <w:hyperlink r:id="rId23"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53156ADB"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5E57E4">
              <w:rPr>
                <w:b/>
                <w:bCs/>
                <w:color w:val="FF0000"/>
                <w:szCs w:val="24"/>
              </w:rPr>
              <w:t>December 15</w:t>
            </w:r>
            <w:r w:rsidR="006904BB">
              <w:rPr>
                <w:b/>
                <w:bCs/>
                <w:color w:val="FF0000"/>
                <w:szCs w:val="24"/>
              </w:rPr>
              <w:t>, 2022</w:t>
            </w:r>
          </w:p>
          <w:p w14:paraId="10898C2C" w14:textId="6FB98AAF"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w:t>
            </w:r>
            <w:r w:rsidR="00CC46EE">
              <w:rPr>
                <w:b/>
                <w:bCs/>
                <w:color w:val="FF0000"/>
                <w:szCs w:val="24"/>
              </w:rPr>
              <w:t>0</w:t>
            </w:r>
            <w:r w:rsidR="00585F22">
              <w:rPr>
                <w:b/>
                <w:bCs/>
                <w:color w:val="FF0000"/>
                <w:szCs w:val="24"/>
              </w:rPr>
              <w:t>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94CFFDA" w14:textId="2A82C3FF" w:rsidR="006904BB" w:rsidRPr="007413A8" w:rsidRDefault="006904BB" w:rsidP="006904BB">
            <w:pPr>
              <w:tabs>
                <w:tab w:val="right" w:pos="7254"/>
              </w:tabs>
              <w:spacing w:before="120" w:after="120"/>
              <w:rPr>
                <w:b/>
                <w:bCs/>
                <w:szCs w:val="24"/>
              </w:rPr>
            </w:pPr>
            <w:r w:rsidRPr="00053952">
              <w:rPr>
                <w:b/>
                <w:bCs/>
                <w:szCs w:val="24"/>
              </w:rPr>
              <w:t>Date:</w:t>
            </w:r>
            <w:r>
              <w:rPr>
                <w:b/>
                <w:bCs/>
                <w:color w:val="FF0000"/>
                <w:szCs w:val="24"/>
              </w:rPr>
              <w:t xml:space="preserve"> </w:t>
            </w:r>
            <w:r w:rsidR="005E57E4">
              <w:rPr>
                <w:b/>
                <w:bCs/>
                <w:color w:val="FF0000"/>
                <w:szCs w:val="24"/>
              </w:rPr>
              <w:t>December 15</w:t>
            </w:r>
            <w:r>
              <w:rPr>
                <w:b/>
                <w:bCs/>
                <w:color w:val="FF0000"/>
                <w:szCs w:val="24"/>
              </w:rPr>
              <w:t>, 2022</w:t>
            </w:r>
          </w:p>
          <w:p w14:paraId="63E4D483" w14:textId="495155BC" w:rsidR="003E4E20" w:rsidRPr="00053952" w:rsidRDefault="006904BB" w:rsidP="006904BB">
            <w:pPr>
              <w:tabs>
                <w:tab w:val="right" w:pos="7254"/>
              </w:tabs>
              <w:spacing w:after="120"/>
              <w:rPr>
                <w:sz w:val="23"/>
                <w:szCs w:val="23"/>
              </w:rPr>
            </w:pPr>
            <w:r w:rsidRPr="007413A8">
              <w:rPr>
                <w:b/>
                <w:bCs/>
                <w:szCs w:val="24"/>
              </w:rPr>
              <w:t xml:space="preserve">Time: </w:t>
            </w:r>
            <w:r>
              <w:rPr>
                <w:b/>
                <w:bCs/>
                <w:color w:val="FF0000"/>
                <w:szCs w:val="24"/>
              </w:rPr>
              <w:t>1</w:t>
            </w:r>
            <w:r w:rsidR="00CC46EE">
              <w:rPr>
                <w:b/>
                <w:bCs/>
                <w:color w:val="FF0000"/>
                <w:szCs w:val="24"/>
              </w:rPr>
              <w:t>0</w:t>
            </w:r>
            <w:r>
              <w:rPr>
                <w:b/>
                <w:bCs/>
                <w:color w:val="FF0000"/>
                <w:szCs w:val="24"/>
              </w:rPr>
              <w:t>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2D97D8E4" w14:textId="77777777" w:rsidR="00421CE1" w:rsidRDefault="00421CE1" w:rsidP="00421CE1">
            <w:pPr>
              <w:pStyle w:val="i"/>
              <w:tabs>
                <w:tab w:val="right" w:pos="7254"/>
              </w:tabs>
              <w:suppressAutoHyphens w:val="0"/>
              <w:spacing w:before="120" w:after="100"/>
              <w:jc w:val="left"/>
              <w:rPr>
                <w:rFonts w:ascii="Times New Roman" w:hAnsi="Times New Roman"/>
                <w:szCs w:val="24"/>
              </w:rPr>
            </w:pPr>
            <w:r>
              <w:rPr>
                <w:rFonts w:ascii="Times New Roman" w:hAnsi="Times New Roman"/>
                <w:szCs w:val="24"/>
              </w:rPr>
              <w:t xml:space="preserve">Evaluation will be done for </w:t>
            </w:r>
            <w:r>
              <w:rPr>
                <w:rFonts w:ascii="Times New Roman" w:hAnsi="Times New Roman"/>
                <w:i/>
                <w:szCs w:val="24"/>
              </w:rPr>
              <w:t>each lot</w:t>
            </w:r>
          </w:p>
          <w:p w14:paraId="60550227" w14:textId="356864B1" w:rsidR="00053952" w:rsidRPr="003E4E20" w:rsidRDefault="00421CE1" w:rsidP="00421CE1">
            <w:pPr>
              <w:pStyle w:val="i"/>
              <w:tabs>
                <w:tab w:val="right" w:pos="7254"/>
              </w:tabs>
              <w:suppressAutoHyphens w:val="0"/>
              <w:spacing w:before="120" w:after="100"/>
              <w:jc w:val="left"/>
              <w:rPr>
                <w:b/>
                <w:bCs/>
              </w:rPr>
            </w:pPr>
            <w:r>
              <w:rPr>
                <w:b/>
                <w:bCs/>
                <w:i/>
                <w:szCs w:val="24"/>
              </w:rPr>
              <w:t>Bidder will be evaluated for each lot and the Contract will comprise the lot(s) awarded to the successful Bidder.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4"/>
          <w:headerReference w:type="default" r:id="rId25"/>
          <w:headerReference w:type="first" r:id="rId26"/>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7"/>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7ACE219D" w14:textId="77777777" w:rsidR="007569B9" w:rsidRPr="007569B9" w:rsidRDefault="007569B9" w:rsidP="007569B9">
            <w:pPr>
              <w:spacing w:line="276" w:lineRule="auto"/>
              <w:rPr>
                <w:sz w:val="22"/>
                <w:szCs w:val="22"/>
              </w:rPr>
            </w:pPr>
            <w:r w:rsidRPr="007569B9">
              <w:rPr>
                <w:sz w:val="22"/>
                <w:szCs w:val="22"/>
              </w:rPr>
              <w:t xml:space="preserve">Minimum average annual turnover </w:t>
            </w:r>
            <w:r w:rsidRPr="007569B9">
              <w:rPr>
                <w:i/>
                <w:iCs/>
                <w:color w:val="FF0000"/>
                <w:sz w:val="22"/>
                <w:szCs w:val="22"/>
              </w:rPr>
              <w:t>shall be as given below</w:t>
            </w:r>
            <w:r w:rsidRPr="007569B9">
              <w:rPr>
                <w:color w:val="FF0000"/>
                <w:sz w:val="22"/>
                <w:szCs w:val="22"/>
              </w:rPr>
              <w:t>.</w:t>
            </w:r>
            <w:r w:rsidRPr="007569B9">
              <w:rPr>
                <w:sz w:val="22"/>
                <w:szCs w:val="22"/>
              </w:rPr>
              <w:t xml:space="preserve"> Calculated as total certified payments received for contracts in progress or completed, within the last </w:t>
            </w:r>
            <w:r w:rsidRPr="007569B9">
              <w:rPr>
                <w:b/>
                <w:bCs/>
                <w:color w:val="548DD4" w:themeColor="text2" w:themeTint="99"/>
                <w:sz w:val="22"/>
                <w:szCs w:val="22"/>
              </w:rPr>
              <w:t>three (3)</w:t>
            </w:r>
            <w:r w:rsidRPr="007569B9">
              <w:rPr>
                <w:color w:val="548DD4" w:themeColor="text2" w:themeTint="99"/>
                <w:sz w:val="22"/>
                <w:szCs w:val="22"/>
              </w:rPr>
              <w:t xml:space="preserve"> </w:t>
            </w:r>
            <w:r w:rsidRPr="007569B9">
              <w:rPr>
                <w:sz w:val="22"/>
                <w:szCs w:val="22"/>
              </w:rPr>
              <w:t>years.</w:t>
            </w:r>
          </w:p>
          <w:p w14:paraId="50EC89DB" w14:textId="004668D4" w:rsidR="007569B9" w:rsidRPr="007569B9" w:rsidRDefault="007569B9" w:rsidP="007569B9">
            <w:pPr>
              <w:spacing w:line="276" w:lineRule="auto"/>
              <w:rPr>
                <w:color w:val="548DD4" w:themeColor="text2" w:themeTint="99"/>
                <w:sz w:val="22"/>
                <w:szCs w:val="22"/>
              </w:rPr>
            </w:pPr>
            <w:r w:rsidRPr="007569B9">
              <w:rPr>
                <w:color w:val="548DD4" w:themeColor="text2" w:themeTint="99"/>
                <w:sz w:val="22"/>
                <w:szCs w:val="22"/>
              </w:rPr>
              <w:t>Lot 1: MVR 1,</w:t>
            </w:r>
            <w:r w:rsidR="00431FEC">
              <w:rPr>
                <w:color w:val="548DD4" w:themeColor="text2" w:themeTint="99"/>
                <w:sz w:val="22"/>
                <w:szCs w:val="22"/>
              </w:rPr>
              <w:t>3</w:t>
            </w:r>
            <w:r w:rsidRPr="007569B9">
              <w:rPr>
                <w:color w:val="548DD4" w:themeColor="text2" w:themeTint="99"/>
                <w:sz w:val="22"/>
                <w:szCs w:val="22"/>
              </w:rPr>
              <w:t>00,000.00</w:t>
            </w:r>
          </w:p>
          <w:p w14:paraId="1D718049" w14:textId="68265DD2" w:rsidR="007569B9" w:rsidRPr="007569B9" w:rsidRDefault="007569B9" w:rsidP="007569B9">
            <w:pPr>
              <w:spacing w:line="276" w:lineRule="auto"/>
              <w:rPr>
                <w:color w:val="548DD4" w:themeColor="text2" w:themeTint="99"/>
                <w:sz w:val="22"/>
                <w:szCs w:val="22"/>
              </w:rPr>
            </w:pPr>
            <w:r w:rsidRPr="007569B9">
              <w:rPr>
                <w:color w:val="548DD4" w:themeColor="text2" w:themeTint="99"/>
                <w:sz w:val="22"/>
                <w:szCs w:val="22"/>
              </w:rPr>
              <w:t xml:space="preserve">Lot-2 </w:t>
            </w:r>
            <w:proofErr w:type="gramStart"/>
            <w:r w:rsidRPr="007569B9">
              <w:rPr>
                <w:color w:val="548DD4" w:themeColor="text2" w:themeTint="99"/>
                <w:sz w:val="22"/>
                <w:szCs w:val="22"/>
              </w:rPr>
              <w:t xml:space="preserve">MVR  </w:t>
            </w:r>
            <w:r w:rsidR="004C3691">
              <w:rPr>
                <w:color w:val="548DD4" w:themeColor="text2" w:themeTint="99"/>
                <w:sz w:val="22"/>
                <w:szCs w:val="22"/>
              </w:rPr>
              <w:t>6,000</w:t>
            </w:r>
            <w:r w:rsidRPr="007569B9">
              <w:rPr>
                <w:color w:val="548DD4" w:themeColor="text2" w:themeTint="99"/>
                <w:sz w:val="22"/>
                <w:szCs w:val="22"/>
              </w:rPr>
              <w:t>,000.00</w:t>
            </w:r>
            <w:proofErr w:type="gramEnd"/>
          </w:p>
          <w:p w14:paraId="61301B53" w14:textId="26532F50" w:rsidR="0025710C" w:rsidRPr="007569B9" w:rsidRDefault="007569B9" w:rsidP="007569B9">
            <w:pPr>
              <w:spacing w:line="276" w:lineRule="auto"/>
              <w:rPr>
                <w:szCs w:val="24"/>
              </w:rPr>
            </w:pPr>
            <w:r w:rsidRPr="007569B9">
              <w:rPr>
                <w:szCs w:val="24"/>
              </w:rPr>
              <w:t xml:space="preserve"> </w:t>
            </w: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261564D3" w14:textId="77777777" w:rsidR="007569B9" w:rsidRPr="007569B9" w:rsidRDefault="007569B9" w:rsidP="007569B9">
            <w:pPr>
              <w:spacing w:line="276" w:lineRule="auto"/>
              <w:rPr>
                <w:sz w:val="22"/>
                <w:szCs w:val="22"/>
              </w:rPr>
            </w:pPr>
            <w:r w:rsidRPr="007569B9">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DC9C168" w14:textId="77777777" w:rsidR="007569B9" w:rsidRPr="007569B9" w:rsidRDefault="007569B9" w:rsidP="007569B9">
            <w:pPr>
              <w:spacing w:line="276" w:lineRule="auto"/>
              <w:rPr>
                <w:sz w:val="22"/>
                <w:szCs w:val="22"/>
              </w:rPr>
            </w:pPr>
            <w:r w:rsidRPr="007569B9">
              <w:rPr>
                <w:sz w:val="22"/>
                <w:szCs w:val="22"/>
              </w:rPr>
              <w:t>(</w:t>
            </w:r>
            <w:proofErr w:type="spellStart"/>
            <w:r w:rsidRPr="007569B9">
              <w:rPr>
                <w:sz w:val="22"/>
                <w:szCs w:val="22"/>
              </w:rPr>
              <w:t>i</w:t>
            </w:r>
            <w:proofErr w:type="spellEnd"/>
            <w:r w:rsidRPr="007569B9">
              <w:rPr>
                <w:sz w:val="22"/>
                <w:szCs w:val="22"/>
              </w:rPr>
              <w:t>) the following cash-flow requirement:</w:t>
            </w:r>
          </w:p>
          <w:p w14:paraId="600D6295" w14:textId="74601D16" w:rsidR="007569B9" w:rsidRPr="007569B9" w:rsidRDefault="007569B9" w:rsidP="007569B9">
            <w:pPr>
              <w:spacing w:line="276" w:lineRule="auto"/>
              <w:rPr>
                <w:color w:val="548DD4" w:themeColor="text2" w:themeTint="99"/>
                <w:sz w:val="22"/>
                <w:szCs w:val="22"/>
              </w:rPr>
            </w:pPr>
            <w:r w:rsidRPr="007569B9">
              <w:rPr>
                <w:color w:val="548DD4" w:themeColor="text2" w:themeTint="99"/>
                <w:sz w:val="22"/>
                <w:szCs w:val="22"/>
              </w:rPr>
              <w:t xml:space="preserve">Lot 1: MVR </w:t>
            </w:r>
            <w:r w:rsidR="004C3691">
              <w:rPr>
                <w:color w:val="548DD4" w:themeColor="text2" w:themeTint="99"/>
                <w:sz w:val="22"/>
                <w:szCs w:val="22"/>
              </w:rPr>
              <w:t>40</w:t>
            </w:r>
            <w:r w:rsidRPr="007569B9">
              <w:rPr>
                <w:color w:val="548DD4" w:themeColor="text2" w:themeTint="99"/>
                <w:sz w:val="22"/>
                <w:szCs w:val="22"/>
              </w:rPr>
              <w:t>0,000.00</w:t>
            </w:r>
          </w:p>
          <w:p w14:paraId="7C8BE9FB" w14:textId="0AAD713D" w:rsidR="007569B9" w:rsidRPr="007569B9" w:rsidRDefault="007569B9" w:rsidP="007569B9">
            <w:pPr>
              <w:spacing w:line="276" w:lineRule="auto"/>
              <w:rPr>
                <w:color w:val="548DD4" w:themeColor="text2" w:themeTint="99"/>
                <w:sz w:val="22"/>
                <w:szCs w:val="22"/>
              </w:rPr>
            </w:pPr>
            <w:r w:rsidRPr="007569B9">
              <w:rPr>
                <w:color w:val="548DD4" w:themeColor="text2" w:themeTint="99"/>
                <w:sz w:val="22"/>
                <w:szCs w:val="22"/>
              </w:rPr>
              <w:t>Lot 2: MVR 1</w:t>
            </w:r>
            <w:r w:rsidR="004C3691">
              <w:rPr>
                <w:color w:val="548DD4" w:themeColor="text2" w:themeTint="99"/>
                <w:sz w:val="22"/>
                <w:szCs w:val="22"/>
              </w:rPr>
              <w:t>,80</w:t>
            </w:r>
            <w:r w:rsidRPr="007569B9">
              <w:rPr>
                <w:color w:val="548DD4" w:themeColor="text2" w:themeTint="99"/>
                <w:sz w:val="22"/>
                <w:szCs w:val="22"/>
              </w:rPr>
              <w:t>0,000.00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198E9CDE" w14:textId="77777777" w:rsidR="007569B9" w:rsidRPr="007569B9" w:rsidRDefault="007569B9" w:rsidP="007569B9">
            <w:pPr>
              <w:spacing w:line="276" w:lineRule="auto"/>
              <w:rPr>
                <w:sz w:val="22"/>
                <w:szCs w:val="22"/>
              </w:rPr>
            </w:pPr>
            <w:r w:rsidRPr="007569B9">
              <w:rPr>
                <w:sz w:val="22"/>
                <w:szCs w:val="22"/>
              </w:rPr>
              <w:t>(a)   Participation as supplier, management contractor, or subcontractor, in at least 2 contracts within the last 5 years, each with a minimum value as given below, that have been successfully and substantially completed and that are similar to the proposed Works. The similarity shall be based on the physical size, complexity, methods/technology or other characteristics as described in Section VI, Employer’s Requirements.</w:t>
            </w:r>
          </w:p>
          <w:p w14:paraId="0F24A95F" w14:textId="4ED3AA8A" w:rsidR="007569B9" w:rsidRPr="007569B9" w:rsidRDefault="007569B9" w:rsidP="007569B9">
            <w:pPr>
              <w:spacing w:line="276" w:lineRule="auto"/>
              <w:rPr>
                <w:sz w:val="22"/>
                <w:szCs w:val="22"/>
              </w:rPr>
            </w:pPr>
            <w:r w:rsidRPr="007569B9">
              <w:rPr>
                <w:sz w:val="22"/>
                <w:szCs w:val="22"/>
              </w:rPr>
              <w:t xml:space="preserve">Lot-1     MVR </w:t>
            </w:r>
            <w:r w:rsidR="004C3691">
              <w:rPr>
                <w:sz w:val="22"/>
                <w:szCs w:val="22"/>
              </w:rPr>
              <w:t>950</w:t>
            </w:r>
            <w:r w:rsidRPr="007569B9">
              <w:rPr>
                <w:sz w:val="22"/>
                <w:szCs w:val="22"/>
              </w:rPr>
              <w:t xml:space="preserve">,000.00 </w:t>
            </w:r>
          </w:p>
          <w:p w14:paraId="0C82683F" w14:textId="371F2679" w:rsidR="007569B9" w:rsidRPr="007569B9" w:rsidRDefault="007569B9" w:rsidP="007569B9">
            <w:pPr>
              <w:spacing w:line="276" w:lineRule="auto"/>
              <w:rPr>
                <w:sz w:val="22"/>
                <w:szCs w:val="22"/>
              </w:rPr>
            </w:pPr>
            <w:r w:rsidRPr="007569B9">
              <w:rPr>
                <w:sz w:val="22"/>
                <w:szCs w:val="22"/>
              </w:rPr>
              <w:lastRenderedPageBreak/>
              <w:t xml:space="preserve">Lot-2     </w:t>
            </w:r>
            <w:proofErr w:type="gramStart"/>
            <w:r w:rsidRPr="007569B9">
              <w:rPr>
                <w:sz w:val="22"/>
                <w:szCs w:val="22"/>
              </w:rPr>
              <w:t xml:space="preserve">MVR  </w:t>
            </w:r>
            <w:r w:rsidR="004C3691">
              <w:rPr>
                <w:sz w:val="22"/>
                <w:szCs w:val="22"/>
              </w:rPr>
              <w:t>4,0</w:t>
            </w:r>
            <w:r w:rsidRPr="007569B9">
              <w:rPr>
                <w:sz w:val="22"/>
                <w:szCs w:val="22"/>
              </w:rPr>
              <w:t>00,000.00</w:t>
            </w:r>
            <w:proofErr w:type="gramEnd"/>
            <w:r w:rsidRPr="007569B9">
              <w:rPr>
                <w:sz w:val="22"/>
                <w:szCs w:val="22"/>
              </w:rPr>
              <w:t xml:space="preserve"> </w:t>
            </w:r>
          </w:p>
          <w:p w14:paraId="55643BBB" w14:textId="082549D8" w:rsidR="00216EA5" w:rsidRPr="0066290A" w:rsidRDefault="00216EA5" w:rsidP="00056C05">
            <w:pPr>
              <w:spacing w:line="276" w:lineRule="auto"/>
              <w:rPr>
                <w:b/>
                <w:sz w:val="22"/>
                <w:szCs w:val="22"/>
              </w:rPr>
            </w:pP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lastRenderedPageBreak/>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8"/>
          <w:headerReference w:type="default" r:id="rId29"/>
          <w:headerReference w:type="first" r:id="rId30"/>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4485C915" w:rsidR="005012B1" w:rsidRPr="00633E6D" w:rsidRDefault="005012B1" w:rsidP="0027018A">
            <w:pPr>
              <w:spacing w:before="120" w:after="120" w:line="276" w:lineRule="auto"/>
              <w:jc w:val="center"/>
              <w:rPr>
                <w:b/>
                <w:sz w:val="20"/>
              </w:rPr>
            </w:pPr>
            <w:r>
              <w:rPr>
                <w:b/>
                <w:sz w:val="20"/>
              </w:rPr>
              <w:t>20</w:t>
            </w:r>
            <w:r w:rsidR="001A5A05">
              <w:rPr>
                <w:b/>
                <w:sz w:val="20"/>
              </w:rPr>
              <w:t>2</w:t>
            </w:r>
            <w:r w:rsidR="007569B9">
              <w:rPr>
                <w:b/>
                <w:sz w:val="20"/>
              </w:rPr>
              <w:t>1</w:t>
            </w:r>
          </w:p>
        </w:tc>
        <w:tc>
          <w:tcPr>
            <w:tcW w:w="1440" w:type="dxa"/>
            <w:vAlign w:val="center"/>
          </w:tcPr>
          <w:p w14:paraId="0B5D534E" w14:textId="09AACCF9" w:rsidR="005012B1" w:rsidRPr="00633E6D" w:rsidRDefault="005012B1" w:rsidP="0027018A">
            <w:pPr>
              <w:spacing w:before="120" w:after="120" w:line="276" w:lineRule="auto"/>
              <w:jc w:val="center"/>
              <w:rPr>
                <w:b/>
                <w:sz w:val="20"/>
              </w:rPr>
            </w:pPr>
            <w:r>
              <w:rPr>
                <w:b/>
                <w:sz w:val="20"/>
              </w:rPr>
              <w:t>20</w:t>
            </w:r>
            <w:r w:rsidR="007569B9">
              <w:rPr>
                <w:b/>
                <w:sz w:val="20"/>
              </w:rPr>
              <w:t>20</w:t>
            </w:r>
          </w:p>
        </w:tc>
        <w:tc>
          <w:tcPr>
            <w:tcW w:w="1440" w:type="dxa"/>
            <w:vAlign w:val="center"/>
          </w:tcPr>
          <w:p w14:paraId="16518F03" w14:textId="4C028B51" w:rsidR="005012B1" w:rsidRPr="00633E6D" w:rsidRDefault="005012B1" w:rsidP="0027018A">
            <w:pPr>
              <w:spacing w:before="120" w:after="120" w:line="276" w:lineRule="auto"/>
              <w:jc w:val="center"/>
              <w:rPr>
                <w:b/>
                <w:sz w:val="20"/>
              </w:rPr>
            </w:pPr>
            <w:r>
              <w:rPr>
                <w:b/>
                <w:sz w:val="20"/>
              </w:rPr>
              <w:t>201</w:t>
            </w:r>
            <w:r w:rsidR="007569B9">
              <w:rPr>
                <w:b/>
                <w:sz w:val="20"/>
              </w:rPr>
              <w:t>9</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6B545A03" w:rsidR="005012B1" w:rsidRPr="00633E6D" w:rsidRDefault="005012B1" w:rsidP="0027018A">
            <w:pPr>
              <w:pStyle w:val="BodyText"/>
              <w:spacing w:before="120" w:after="120" w:line="276" w:lineRule="auto"/>
              <w:jc w:val="center"/>
            </w:pPr>
            <w:r>
              <w:t>20</w:t>
            </w:r>
            <w:r w:rsidR="001A5A05">
              <w:t>2</w:t>
            </w:r>
            <w:r w:rsidR="007569B9">
              <w:t>1</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6436D444" w:rsidR="005012B1" w:rsidRPr="00633E6D" w:rsidRDefault="005012B1" w:rsidP="0027018A">
            <w:pPr>
              <w:pStyle w:val="BodyText"/>
              <w:spacing w:before="120" w:after="120" w:line="276" w:lineRule="auto"/>
              <w:jc w:val="center"/>
            </w:pPr>
            <w:r>
              <w:t>20</w:t>
            </w:r>
            <w:r w:rsidR="007569B9">
              <w:t>20</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38246746" w:rsidR="005012B1" w:rsidRPr="00633E6D" w:rsidRDefault="005012B1" w:rsidP="0027018A">
            <w:pPr>
              <w:pStyle w:val="BodyText"/>
              <w:spacing w:before="120" w:after="120" w:line="276" w:lineRule="auto"/>
              <w:jc w:val="center"/>
            </w:pPr>
            <w:r>
              <w:t>201</w:t>
            </w:r>
            <w:r w:rsidR="007569B9">
              <w:t>9</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rsidP="00CC46EE">
      <w:pP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30BBD4E5"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786A7E">
        <w:rPr>
          <w:b/>
          <w:bCs/>
          <w:color w:val="0070C0"/>
        </w:rPr>
        <w:t>2022</w:t>
      </w:r>
      <w:r w:rsidR="00B55785" w:rsidRPr="0015674C">
        <w:rPr>
          <w:b/>
          <w:bCs/>
          <w:color w:val="0070C0"/>
        </w:rPr>
        <w:t>/G-</w:t>
      </w:r>
      <w:r w:rsidR="00786A7E">
        <w:rPr>
          <w:b/>
          <w:bCs/>
          <w:color w:val="0070C0"/>
        </w:rPr>
        <w:t>00</w:t>
      </w:r>
      <w:r w:rsidR="005A3B20">
        <w:rPr>
          <w:b/>
          <w:bCs/>
          <w:color w:val="0070C0"/>
        </w:rPr>
        <w:t>3</w:t>
      </w:r>
      <w:r w:rsidRPr="0015674C">
        <w:rPr>
          <w:b/>
          <w:bCs/>
          <w:color w:val="0070C0"/>
        </w:rPr>
        <w:t xml:space="preserve"> </w:t>
      </w:r>
      <w:r w:rsidR="00B55785" w:rsidRPr="0015674C">
        <w:rPr>
          <w:b/>
          <w:bCs/>
          <w:color w:val="0070C0"/>
        </w:rPr>
        <w:t xml:space="preserve">- </w:t>
      </w:r>
      <w:r w:rsidR="004C3691" w:rsidRPr="004C3691">
        <w:rPr>
          <w:b/>
          <w:bCs/>
          <w:color w:val="0070C0"/>
        </w:rPr>
        <w:t>Supply and Delivery of ICT Equipment to Maldives Immigration</w:t>
      </w:r>
      <w:r w:rsidR="00786A7E" w:rsidRPr="00786A7E">
        <w:rPr>
          <w:b/>
          <w:bCs/>
          <w:color w:val="0070C0"/>
        </w:rPr>
        <w:t>)</w:t>
      </w:r>
    </w:p>
    <w:p w14:paraId="2EEA8E51" w14:textId="77777777" w:rsidR="002563D4" w:rsidRDefault="002563D4" w:rsidP="002563D4">
      <w:pPr>
        <w:numPr>
          <w:ilvl w:val="0"/>
          <w:numId w:val="103"/>
        </w:numPr>
        <w:spacing w:before="120" w:after="120" w:line="276" w:lineRule="auto"/>
        <w:jc w:val="both"/>
        <w:rPr>
          <w:spacing w:val="8"/>
          <w:sz w:val="22"/>
        </w:rPr>
      </w:pPr>
      <w:r w:rsidRPr="0086140B">
        <w:rPr>
          <w:sz w:val="22"/>
          <w:szCs w:val="22"/>
        </w:rPr>
        <w:t xml:space="preserve">The total </w:t>
      </w:r>
      <w:r w:rsidRPr="0086140B">
        <w:rPr>
          <w:color w:val="FF0000"/>
          <w:sz w:val="22"/>
          <w:szCs w:val="22"/>
        </w:rPr>
        <w:t>lump-sum fixed price</w:t>
      </w:r>
      <w:r w:rsidRPr="0086140B">
        <w:rPr>
          <w:sz w:val="22"/>
          <w:szCs w:val="22"/>
        </w:rPr>
        <w:t xml:space="preserve"> of our Tender,</w:t>
      </w:r>
      <w:r w:rsidRPr="0086140B">
        <w:rPr>
          <w:color w:val="FF0000"/>
          <w:spacing w:val="8"/>
          <w:sz w:val="22"/>
          <w:szCs w:val="22"/>
        </w:rPr>
        <w:t xml:space="preserve"> </w:t>
      </w:r>
      <w:r w:rsidRPr="0086140B">
        <w:rPr>
          <w:color w:val="FF0000"/>
          <w:sz w:val="22"/>
          <w:szCs w:val="22"/>
        </w:rPr>
        <w:t>excluding Goods and Services Tax (GST) in item (d) and excluding any discounts</w:t>
      </w:r>
      <w:r w:rsidRPr="0086140B">
        <w:rPr>
          <w:sz w:val="22"/>
          <w:szCs w:val="22"/>
        </w:rPr>
        <w:t xml:space="preserve"> offered in item (e) below are: </w:t>
      </w:r>
      <w:r w:rsidRPr="004958EB">
        <w:rPr>
          <w:i/>
          <w:iCs/>
          <w:color w:val="FF0000"/>
          <w:spacing w:val="8"/>
          <w:sz w:val="22"/>
        </w:rPr>
        <w:t>(Fill in the table</w:t>
      </w:r>
      <w:r>
        <w:rPr>
          <w:i/>
          <w:iCs/>
          <w:color w:val="FF0000"/>
          <w:spacing w:val="8"/>
          <w:sz w:val="22"/>
        </w:rPr>
        <w:t xml:space="preserve"> </w:t>
      </w:r>
      <w:proofErr w:type="gramStart"/>
      <w:r>
        <w:rPr>
          <w:i/>
          <w:iCs/>
          <w:color w:val="FF0000"/>
          <w:spacing w:val="8"/>
          <w:sz w:val="22"/>
        </w:rPr>
        <w:t>below</w:t>
      </w:r>
      <w:r w:rsidRPr="004958EB">
        <w:rPr>
          <w:i/>
          <w:iCs/>
          <w:color w:val="FF0000"/>
          <w:spacing w:val="8"/>
          <w:sz w:val="22"/>
        </w:rPr>
        <w:t>)</w:t>
      </w:r>
      <w:r w:rsidRPr="004958EB">
        <w:rPr>
          <w:color w:val="FF0000"/>
          <w:spacing w:val="8"/>
          <w:sz w:val="22"/>
        </w:rPr>
        <w:t>…</w:t>
      </w:r>
      <w:proofErr w:type="gramEnd"/>
      <w:r w:rsidRPr="004958EB">
        <w:rPr>
          <w:color w:val="FF0000"/>
          <w:spacing w:val="8"/>
          <w:sz w:val="22"/>
        </w:rPr>
        <w:t xml:space="preserve">…………. </w:t>
      </w:r>
      <w:r w:rsidRPr="004958EB">
        <w:rPr>
          <w:i/>
          <w:color w:val="FF0000"/>
          <w:spacing w:val="8"/>
        </w:rPr>
        <w:t>[amount in numbers &amp; words]</w:t>
      </w:r>
      <w:r w:rsidRPr="004958EB">
        <w:rPr>
          <w:spacing w:val="8"/>
          <w:sz w:val="22"/>
        </w:rPr>
        <w:t xml:space="preserve"> </w:t>
      </w:r>
    </w:p>
    <w:p w14:paraId="790538A6" w14:textId="585B294C" w:rsidR="002563D4" w:rsidRDefault="002563D4"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p>
    <w:tbl>
      <w:tblPr>
        <w:tblStyle w:val="TableGrid"/>
        <w:tblW w:w="10260" w:type="dxa"/>
        <w:tblInd w:w="175" w:type="dxa"/>
        <w:tblLook w:val="04A0" w:firstRow="1" w:lastRow="0" w:firstColumn="1" w:lastColumn="0" w:noHBand="0" w:noVBand="1"/>
      </w:tblPr>
      <w:tblGrid>
        <w:gridCol w:w="990"/>
        <w:gridCol w:w="3600"/>
        <w:gridCol w:w="1985"/>
        <w:gridCol w:w="1618"/>
        <w:gridCol w:w="2067"/>
      </w:tblGrid>
      <w:tr w:rsidR="002563D4" w:rsidRPr="0086140B" w14:paraId="089EC53A" w14:textId="77777777" w:rsidTr="006F66D1">
        <w:tc>
          <w:tcPr>
            <w:tcW w:w="990" w:type="dxa"/>
          </w:tcPr>
          <w:p w14:paraId="4F53ED24" w14:textId="77777777" w:rsidR="002563D4" w:rsidRPr="0086140B" w:rsidRDefault="002563D4" w:rsidP="006F66D1">
            <w:pPr>
              <w:tabs>
                <w:tab w:val="left" w:pos="540"/>
              </w:tabs>
              <w:spacing w:before="60" w:after="60" w:line="360" w:lineRule="auto"/>
              <w:jc w:val="center"/>
              <w:rPr>
                <w:b/>
                <w:bCs/>
                <w:sz w:val="18"/>
                <w:szCs w:val="14"/>
              </w:rPr>
            </w:pPr>
            <w:r w:rsidRPr="0086140B">
              <w:rPr>
                <w:b/>
                <w:bCs/>
                <w:sz w:val="18"/>
                <w:szCs w:val="14"/>
              </w:rPr>
              <w:t>Lot No.</w:t>
            </w:r>
          </w:p>
        </w:tc>
        <w:tc>
          <w:tcPr>
            <w:tcW w:w="3600" w:type="dxa"/>
          </w:tcPr>
          <w:p w14:paraId="61BD4CFA" w14:textId="77777777" w:rsidR="002563D4" w:rsidRPr="0086140B" w:rsidRDefault="002563D4" w:rsidP="006F66D1">
            <w:pPr>
              <w:tabs>
                <w:tab w:val="left" w:pos="540"/>
              </w:tabs>
              <w:spacing w:before="60" w:after="60" w:line="360" w:lineRule="auto"/>
              <w:jc w:val="center"/>
              <w:rPr>
                <w:b/>
                <w:bCs/>
                <w:sz w:val="18"/>
                <w:szCs w:val="14"/>
              </w:rPr>
            </w:pPr>
            <w:r w:rsidRPr="0086140B">
              <w:rPr>
                <w:b/>
                <w:bCs/>
                <w:sz w:val="18"/>
                <w:szCs w:val="14"/>
              </w:rPr>
              <w:t>Description</w:t>
            </w:r>
          </w:p>
        </w:tc>
        <w:tc>
          <w:tcPr>
            <w:tcW w:w="1985" w:type="dxa"/>
          </w:tcPr>
          <w:p w14:paraId="363EF6ED" w14:textId="77777777" w:rsidR="002563D4" w:rsidRPr="0086140B" w:rsidRDefault="002563D4" w:rsidP="006F66D1">
            <w:pPr>
              <w:tabs>
                <w:tab w:val="left" w:pos="540"/>
              </w:tabs>
              <w:spacing w:before="60" w:after="60" w:line="360" w:lineRule="auto"/>
              <w:jc w:val="center"/>
              <w:rPr>
                <w:b/>
                <w:bCs/>
                <w:sz w:val="18"/>
                <w:szCs w:val="14"/>
              </w:rPr>
            </w:pPr>
            <w:r w:rsidRPr="0086140B">
              <w:rPr>
                <w:b/>
                <w:bCs/>
                <w:sz w:val="18"/>
                <w:szCs w:val="14"/>
              </w:rPr>
              <w:t>Bidding Price</w:t>
            </w:r>
          </w:p>
          <w:p w14:paraId="2893AF5A" w14:textId="77777777" w:rsidR="002563D4" w:rsidRPr="0086140B" w:rsidRDefault="002563D4" w:rsidP="006F66D1">
            <w:pPr>
              <w:tabs>
                <w:tab w:val="left" w:pos="540"/>
              </w:tabs>
              <w:spacing w:before="60" w:after="60" w:line="360" w:lineRule="auto"/>
              <w:jc w:val="center"/>
              <w:rPr>
                <w:b/>
                <w:bCs/>
                <w:sz w:val="18"/>
                <w:szCs w:val="14"/>
              </w:rPr>
            </w:pPr>
            <w:r w:rsidRPr="0086140B">
              <w:rPr>
                <w:b/>
                <w:bCs/>
                <w:sz w:val="18"/>
                <w:szCs w:val="14"/>
              </w:rPr>
              <w:t>In (MVR)</w:t>
            </w:r>
          </w:p>
        </w:tc>
        <w:tc>
          <w:tcPr>
            <w:tcW w:w="1618" w:type="dxa"/>
          </w:tcPr>
          <w:p w14:paraId="44BACD96" w14:textId="77777777" w:rsidR="002563D4" w:rsidRPr="0086140B" w:rsidRDefault="002563D4" w:rsidP="006F66D1">
            <w:pPr>
              <w:tabs>
                <w:tab w:val="left" w:pos="540"/>
              </w:tabs>
              <w:spacing w:before="60" w:after="60" w:line="360" w:lineRule="auto"/>
              <w:jc w:val="center"/>
              <w:rPr>
                <w:b/>
                <w:bCs/>
                <w:sz w:val="18"/>
                <w:szCs w:val="14"/>
              </w:rPr>
            </w:pPr>
            <w:r w:rsidRPr="0086140B">
              <w:rPr>
                <w:b/>
                <w:bCs/>
                <w:sz w:val="18"/>
                <w:szCs w:val="14"/>
              </w:rPr>
              <w:t>GST 6%</w:t>
            </w:r>
          </w:p>
        </w:tc>
        <w:tc>
          <w:tcPr>
            <w:tcW w:w="2067" w:type="dxa"/>
          </w:tcPr>
          <w:p w14:paraId="4D6DCEAE" w14:textId="77777777" w:rsidR="002563D4" w:rsidRPr="0086140B" w:rsidRDefault="002563D4" w:rsidP="006F66D1">
            <w:pPr>
              <w:tabs>
                <w:tab w:val="left" w:pos="540"/>
              </w:tabs>
              <w:spacing w:before="60" w:after="60" w:line="360" w:lineRule="auto"/>
              <w:jc w:val="center"/>
              <w:rPr>
                <w:b/>
                <w:bCs/>
                <w:sz w:val="18"/>
                <w:szCs w:val="14"/>
              </w:rPr>
            </w:pPr>
            <w:r w:rsidRPr="0086140B">
              <w:rPr>
                <w:b/>
                <w:bCs/>
                <w:sz w:val="18"/>
                <w:szCs w:val="14"/>
              </w:rPr>
              <w:t>Total Bidding Price In (MVR)</w:t>
            </w:r>
          </w:p>
        </w:tc>
      </w:tr>
      <w:tr w:rsidR="002563D4" w14:paraId="24E96912" w14:textId="77777777" w:rsidTr="006F66D1">
        <w:tc>
          <w:tcPr>
            <w:tcW w:w="990" w:type="dxa"/>
          </w:tcPr>
          <w:p w14:paraId="4E00F7A5" w14:textId="77777777" w:rsidR="002563D4" w:rsidRDefault="002563D4" w:rsidP="006F66D1">
            <w:pPr>
              <w:tabs>
                <w:tab w:val="left" w:pos="540"/>
              </w:tabs>
              <w:spacing w:before="60" w:after="60" w:line="360" w:lineRule="auto"/>
              <w:jc w:val="center"/>
              <w:rPr>
                <w:b/>
                <w:bCs/>
                <w:i/>
                <w:iCs/>
              </w:rPr>
            </w:pPr>
            <w:r w:rsidRPr="00382C1D">
              <w:rPr>
                <w:rFonts w:asciiTheme="majorBidi" w:hAnsiTheme="majorBidi" w:cstheme="majorBidi"/>
                <w:i/>
                <w:iCs/>
              </w:rPr>
              <w:t xml:space="preserve">Lot 1: </w:t>
            </w:r>
          </w:p>
        </w:tc>
        <w:tc>
          <w:tcPr>
            <w:tcW w:w="3600" w:type="dxa"/>
          </w:tcPr>
          <w:p w14:paraId="162949EA" w14:textId="0C47285E" w:rsidR="002563D4" w:rsidRPr="0077247C" w:rsidRDefault="002563D4" w:rsidP="006F66D1">
            <w:pPr>
              <w:tabs>
                <w:tab w:val="right" w:pos="7272"/>
              </w:tabs>
              <w:spacing w:before="60" w:after="60"/>
              <w:rPr>
                <w:b/>
                <w:bCs/>
                <w:i/>
                <w:iCs/>
                <w:szCs w:val="24"/>
              </w:rPr>
            </w:pPr>
            <w:r>
              <w:rPr>
                <w:rFonts w:asciiTheme="majorBidi" w:hAnsiTheme="majorBidi" w:cstheme="majorBidi"/>
                <w:i/>
                <w:iCs/>
              </w:rPr>
              <w:t>Server</w:t>
            </w:r>
          </w:p>
        </w:tc>
        <w:tc>
          <w:tcPr>
            <w:tcW w:w="1985" w:type="dxa"/>
          </w:tcPr>
          <w:p w14:paraId="490548BC" w14:textId="77777777" w:rsidR="002563D4" w:rsidRDefault="002563D4" w:rsidP="006F66D1">
            <w:pPr>
              <w:tabs>
                <w:tab w:val="left" w:pos="540"/>
              </w:tabs>
              <w:spacing w:before="60" w:after="60" w:line="360" w:lineRule="auto"/>
              <w:jc w:val="center"/>
              <w:rPr>
                <w:b/>
                <w:bCs/>
                <w:i/>
                <w:iCs/>
              </w:rPr>
            </w:pPr>
          </w:p>
        </w:tc>
        <w:tc>
          <w:tcPr>
            <w:tcW w:w="1618" w:type="dxa"/>
          </w:tcPr>
          <w:p w14:paraId="6AC42D02" w14:textId="77777777" w:rsidR="002563D4" w:rsidRDefault="002563D4" w:rsidP="006F66D1">
            <w:pPr>
              <w:tabs>
                <w:tab w:val="left" w:pos="540"/>
              </w:tabs>
              <w:spacing w:before="60" w:after="60" w:line="360" w:lineRule="auto"/>
              <w:jc w:val="center"/>
              <w:rPr>
                <w:b/>
                <w:bCs/>
                <w:i/>
                <w:iCs/>
              </w:rPr>
            </w:pPr>
          </w:p>
        </w:tc>
        <w:tc>
          <w:tcPr>
            <w:tcW w:w="2067" w:type="dxa"/>
          </w:tcPr>
          <w:p w14:paraId="02FFA855" w14:textId="77777777" w:rsidR="002563D4" w:rsidRDefault="002563D4" w:rsidP="006F66D1">
            <w:pPr>
              <w:tabs>
                <w:tab w:val="left" w:pos="540"/>
              </w:tabs>
              <w:spacing w:before="60" w:after="60" w:line="360" w:lineRule="auto"/>
              <w:jc w:val="center"/>
              <w:rPr>
                <w:b/>
                <w:bCs/>
                <w:i/>
                <w:iCs/>
              </w:rPr>
            </w:pPr>
          </w:p>
        </w:tc>
      </w:tr>
      <w:tr w:rsidR="002563D4" w14:paraId="6209DFE7" w14:textId="77777777" w:rsidTr="006F66D1">
        <w:tc>
          <w:tcPr>
            <w:tcW w:w="990" w:type="dxa"/>
          </w:tcPr>
          <w:p w14:paraId="2970A71E" w14:textId="77777777" w:rsidR="002563D4" w:rsidRDefault="002563D4" w:rsidP="006F66D1">
            <w:pPr>
              <w:tabs>
                <w:tab w:val="left" w:pos="540"/>
              </w:tabs>
              <w:spacing w:before="60" w:after="60" w:line="360" w:lineRule="auto"/>
              <w:jc w:val="center"/>
              <w:rPr>
                <w:b/>
                <w:bCs/>
                <w:i/>
                <w:iCs/>
              </w:rPr>
            </w:pPr>
            <w:r w:rsidRPr="00382C1D">
              <w:rPr>
                <w:rFonts w:asciiTheme="majorBidi" w:hAnsiTheme="majorBidi" w:cstheme="majorBidi"/>
                <w:i/>
                <w:iCs/>
              </w:rPr>
              <w:t>Lot 2</w:t>
            </w:r>
          </w:p>
        </w:tc>
        <w:tc>
          <w:tcPr>
            <w:tcW w:w="3600" w:type="dxa"/>
          </w:tcPr>
          <w:p w14:paraId="61C7F0A1" w14:textId="47C5ECFA" w:rsidR="002563D4" w:rsidRPr="0086140B" w:rsidRDefault="002563D4" w:rsidP="002563D4">
            <w:pPr>
              <w:tabs>
                <w:tab w:val="right" w:pos="7272"/>
              </w:tabs>
              <w:spacing w:before="60" w:after="60"/>
              <w:rPr>
                <w:b/>
                <w:bCs/>
                <w:i/>
                <w:iCs/>
                <w:sz w:val="22"/>
                <w:szCs w:val="18"/>
              </w:rPr>
            </w:pPr>
            <w:r w:rsidRPr="002563D4">
              <w:rPr>
                <w:rFonts w:asciiTheme="majorBidi" w:hAnsiTheme="majorBidi" w:cstheme="majorBidi"/>
                <w:i/>
                <w:iCs/>
              </w:rPr>
              <w:t>Supply and Installation of Integrated Data Center</w:t>
            </w:r>
          </w:p>
        </w:tc>
        <w:tc>
          <w:tcPr>
            <w:tcW w:w="1985" w:type="dxa"/>
          </w:tcPr>
          <w:p w14:paraId="4E673C4F" w14:textId="77777777" w:rsidR="002563D4" w:rsidRDefault="002563D4" w:rsidP="006F66D1">
            <w:pPr>
              <w:tabs>
                <w:tab w:val="left" w:pos="540"/>
              </w:tabs>
              <w:spacing w:before="60" w:after="60" w:line="360" w:lineRule="auto"/>
              <w:jc w:val="center"/>
              <w:rPr>
                <w:b/>
                <w:bCs/>
                <w:i/>
                <w:iCs/>
              </w:rPr>
            </w:pPr>
          </w:p>
        </w:tc>
        <w:tc>
          <w:tcPr>
            <w:tcW w:w="1618" w:type="dxa"/>
          </w:tcPr>
          <w:p w14:paraId="69818B26" w14:textId="77777777" w:rsidR="002563D4" w:rsidRDefault="002563D4" w:rsidP="006F66D1">
            <w:pPr>
              <w:tabs>
                <w:tab w:val="left" w:pos="540"/>
              </w:tabs>
              <w:spacing w:before="60" w:after="60" w:line="360" w:lineRule="auto"/>
              <w:jc w:val="center"/>
              <w:rPr>
                <w:b/>
                <w:bCs/>
                <w:i/>
                <w:iCs/>
              </w:rPr>
            </w:pPr>
          </w:p>
        </w:tc>
        <w:tc>
          <w:tcPr>
            <w:tcW w:w="2067" w:type="dxa"/>
          </w:tcPr>
          <w:p w14:paraId="29C41296" w14:textId="77777777" w:rsidR="002563D4" w:rsidRDefault="002563D4" w:rsidP="006F66D1">
            <w:pPr>
              <w:tabs>
                <w:tab w:val="left" w:pos="540"/>
              </w:tabs>
              <w:spacing w:before="60" w:after="60" w:line="360" w:lineRule="auto"/>
              <w:jc w:val="center"/>
              <w:rPr>
                <w:b/>
                <w:bCs/>
                <w:i/>
                <w:iCs/>
              </w:rPr>
            </w:pPr>
          </w:p>
        </w:tc>
      </w:tr>
    </w:tbl>
    <w:p w14:paraId="3C4C1F27" w14:textId="77777777" w:rsidR="002563D4" w:rsidRPr="0015674C" w:rsidRDefault="002563D4"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07E6B130" w14:textId="7BA4D1EE" w:rsidR="002563D4" w:rsidRDefault="002563D4" w:rsidP="002563D4">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w:t>
      </w:r>
      <w:r>
        <w:rPr>
          <w:sz w:val="22"/>
          <w:szCs w:val="22"/>
        </w:rPr>
        <w:t xml:space="preserve"> the given duration below (in days).</w:t>
      </w:r>
    </w:p>
    <w:p w14:paraId="1DE1C83E" w14:textId="1AAA7481" w:rsidR="00F91E43" w:rsidRPr="002563D4" w:rsidRDefault="00F91E43" w:rsidP="002563D4">
      <w:pPr>
        <w:spacing w:before="120" w:after="120" w:line="276" w:lineRule="auto"/>
        <w:ind w:left="720"/>
        <w:jc w:val="both"/>
        <w:rPr>
          <w:color w:val="000000" w:themeColor="text1"/>
          <w:sz w:val="22"/>
          <w:szCs w:val="22"/>
        </w:rPr>
      </w:pPr>
    </w:p>
    <w:tbl>
      <w:tblPr>
        <w:tblStyle w:val="TableGrid"/>
        <w:tblW w:w="10345" w:type="dxa"/>
        <w:tblLook w:val="04A0" w:firstRow="1" w:lastRow="0" w:firstColumn="1" w:lastColumn="0" w:noHBand="0" w:noVBand="1"/>
      </w:tblPr>
      <w:tblGrid>
        <w:gridCol w:w="1143"/>
        <w:gridCol w:w="7402"/>
        <w:gridCol w:w="1800"/>
      </w:tblGrid>
      <w:tr w:rsidR="002563D4" w14:paraId="56DAD538" w14:textId="77777777" w:rsidTr="006F66D1">
        <w:tc>
          <w:tcPr>
            <w:tcW w:w="1143" w:type="dxa"/>
          </w:tcPr>
          <w:p w14:paraId="0DE98ECD" w14:textId="77777777" w:rsidR="002563D4" w:rsidRDefault="002563D4" w:rsidP="006F66D1">
            <w:pPr>
              <w:tabs>
                <w:tab w:val="left" w:pos="540"/>
              </w:tabs>
              <w:spacing w:before="60" w:after="60" w:line="360" w:lineRule="auto"/>
              <w:jc w:val="center"/>
              <w:rPr>
                <w:b/>
                <w:bCs/>
                <w:i/>
                <w:iCs/>
              </w:rPr>
            </w:pPr>
            <w:r>
              <w:rPr>
                <w:b/>
                <w:bCs/>
                <w:i/>
                <w:iCs/>
              </w:rPr>
              <w:t>Lot No.</w:t>
            </w:r>
          </w:p>
        </w:tc>
        <w:tc>
          <w:tcPr>
            <w:tcW w:w="7402" w:type="dxa"/>
          </w:tcPr>
          <w:p w14:paraId="54180FF6" w14:textId="77777777" w:rsidR="002563D4" w:rsidRDefault="002563D4" w:rsidP="006F66D1">
            <w:pPr>
              <w:tabs>
                <w:tab w:val="left" w:pos="540"/>
              </w:tabs>
              <w:spacing w:before="60" w:after="60" w:line="360" w:lineRule="auto"/>
              <w:jc w:val="center"/>
              <w:rPr>
                <w:b/>
                <w:bCs/>
                <w:i/>
                <w:iCs/>
              </w:rPr>
            </w:pPr>
            <w:bookmarkStart w:id="426" w:name="_GoBack"/>
            <w:bookmarkEnd w:id="426"/>
            <w:r>
              <w:rPr>
                <w:b/>
                <w:bCs/>
                <w:i/>
                <w:iCs/>
              </w:rPr>
              <w:t>Description</w:t>
            </w:r>
          </w:p>
        </w:tc>
        <w:tc>
          <w:tcPr>
            <w:tcW w:w="1800" w:type="dxa"/>
          </w:tcPr>
          <w:p w14:paraId="3A2920C4" w14:textId="77777777" w:rsidR="002563D4" w:rsidRDefault="002563D4" w:rsidP="006F66D1">
            <w:pPr>
              <w:tabs>
                <w:tab w:val="left" w:pos="540"/>
              </w:tabs>
              <w:spacing w:before="60" w:after="60" w:line="360" w:lineRule="auto"/>
              <w:jc w:val="center"/>
              <w:rPr>
                <w:b/>
                <w:bCs/>
                <w:i/>
                <w:iCs/>
              </w:rPr>
            </w:pPr>
            <w:r>
              <w:rPr>
                <w:b/>
                <w:bCs/>
                <w:i/>
                <w:iCs/>
              </w:rPr>
              <w:t>Duration (in Days)</w:t>
            </w:r>
          </w:p>
        </w:tc>
      </w:tr>
      <w:tr w:rsidR="002563D4" w14:paraId="732805DB" w14:textId="77777777" w:rsidTr="006F66D1">
        <w:tc>
          <w:tcPr>
            <w:tcW w:w="1143" w:type="dxa"/>
          </w:tcPr>
          <w:p w14:paraId="2432B344" w14:textId="77777777" w:rsidR="002563D4" w:rsidRDefault="002563D4" w:rsidP="006F66D1">
            <w:pPr>
              <w:tabs>
                <w:tab w:val="left" w:pos="540"/>
              </w:tabs>
              <w:spacing w:before="60" w:after="60" w:line="360" w:lineRule="auto"/>
              <w:jc w:val="center"/>
              <w:rPr>
                <w:b/>
                <w:bCs/>
                <w:i/>
                <w:iCs/>
              </w:rPr>
            </w:pPr>
            <w:r w:rsidRPr="00382C1D">
              <w:rPr>
                <w:rFonts w:asciiTheme="majorBidi" w:hAnsiTheme="majorBidi" w:cstheme="majorBidi"/>
                <w:i/>
                <w:iCs/>
              </w:rPr>
              <w:lastRenderedPageBreak/>
              <w:t xml:space="preserve">Lot 1: </w:t>
            </w:r>
          </w:p>
        </w:tc>
        <w:tc>
          <w:tcPr>
            <w:tcW w:w="7402" w:type="dxa"/>
          </w:tcPr>
          <w:p w14:paraId="4813FD16" w14:textId="77777777" w:rsidR="002563D4" w:rsidRPr="0077247C" w:rsidRDefault="002563D4" w:rsidP="006F66D1">
            <w:pPr>
              <w:tabs>
                <w:tab w:val="right" w:pos="7272"/>
              </w:tabs>
              <w:spacing w:before="60" w:after="60"/>
              <w:rPr>
                <w:b/>
                <w:bCs/>
                <w:i/>
                <w:iCs/>
                <w:szCs w:val="24"/>
              </w:rPr>
            </w:pPr>
            <w:r w:rsidRPr="00382C1D">
              <w:rPr>
                <w:rFonts w:asciiTheme="majorBidi" w:hAnsiTheme="majorBidi" w:cstheme="majorBidi"/>
                <w:i/>
                <w:iCs/>
              </w:rPr>
              <w:t>Network Core Equipment (Switches and Firewall)</w:t>
            </w:r>
          </w:p>
        </w:tc>
        <w:tc>
          <w:tcPr>
            <w:tcW w:w="1800" w:type="dxa"/>
          </w:tcPr>
          <w:p w14:paraId="41E11679" w14:textId="77777777" w:rsidR="002563D4" w:rsidRDefault="002563D4" w:rsidP="006F66D1">
            <w:pPr>
              <w:tabs>
                <w:tab w:val="left" w:pos="540"/>
              </w:tabs>
              <w:spacing w:before="60" w:after="60" w:line="360" w:lineRule="auto"/>
              <w:jc w:val="center"/>
              <w:rPr>
                <w:b/>
                <w:bCs/>
                <w:i/>
                <w:iCs/>
              </w:rPr>
            </w:pPr>
          </w:p>
        </w:tc>
      </w:tr>
      <w:tr w:rsidR="002563D4" w14:paraId="12662EB2" w14:textId="77777777" w:rsidTr="006F66D1">
        <w:tc>
          <w:tcPr>
            <w:tcW w:w="1143" w:type="dxa"/>
          </w:tcPr>
          <w:p w14:paraId="6175A3F5" w14:textId="77777777" w:rsidR="002563D4" w:rsidRDefault="002563D4" w:rsidP="006F66D1">
            <w:pPr>
              <w:tabs>
                <w:tab w:val="left" w:pos="540"/>
              </w:tabs>
              <w:spacing w:before="60" w:after="60" w:line="360" w:lineRule="auto"/>
              <w:jc w:val="center"/>
              <w:rPr>
                <w:b/>
                <w:bCs/>
                <w:i/>
                <w:iCs/>
              </w:rPr>
            </w:pPr>
            <w:r w:rsidRPr="00382C1D">
              <w:rPr>
                <w:rFonts w:asciiTheme="majorBidi" w:hAnsiTheme="majorBidi" w:cstheme="majorBidi"/>
                <w:i/>
                <w:iCs/>
              </w:rPr>
              <w:t>Lot 2</w:t>
            </w:r>
          </w:p>
        </w:tc>
        <w:tc>
          <w:tcPr>
            <w:tcW w:w="7402" w:type="dxa"/>
          </w:tcPr>
          <w:p w14:paraId="791FE284" w14:textId="77777777" w:rsidR="002563D4" w:rsidRPr="00FC4C4C" w:rsidRDefault="002563D4" w:rsidP="006F66D1">
            <w:pPr>
              <w:tabs>
                <w:tab w:val="right" w:pos="7272"/>
              </w:tabs>
              <w:spacing w:before="120" w:after="120"/>
              <w:jc w:val="both"/>
              <w:rPr>
                <w:b/>
                <w:bCs/>
                <w:i/>
                <w:iCs/>
                <w:sz w:val="22"/>
                <w:szCs w:val="18"/>
              </w:rPr>
            </w:pPr>
            <w:r w:rsidRPr="00382C1D">
              <w:rPr>
                <w:rFonts w:asciiTheme="majorBidi" w:hAnsiTheme="majorBidi" w:cstheme="majorBidi"/>
                <w:i/>
                <w:iCs/>
              </w:rPr>
              <w:t>Server and Storage System</w:t>
            </w:r>
          </w:p>
        </w:tc>
        <w:tc>
          <w:tcPr>
            <w:tcW w:w="1800" w:type="dxa"/>
          </w:tcPr>
          <w:p w14:paraId="5741CD19" w14:textId="77777777" w:rsidR="002563D4" w:rsidRDefault="002563D4" w:rsidP="006F66D1">
            <w:pPr>
              <w:tabs>
                <w:tab w:val="left" w:pos="540"/>
              </w:tabs>
              <w:spacing w:before="60" w:after="60" w:line="360" w:lineRule="auto"/>
              <w:jc w:val="center"/>
              <w:rPr>
                <w:b/>
                <w:bCs/>
                <w:i/>
                <w:iCs/>
              </w:rPr>
            </w:pPr>
          </w:p>
        </w:tc>
      </w:tr>
    </w:tbl>
    <w:p w14:paraId="184443CB" w14:textId="77777777" w:rsidR="002563D4" w:rsidRPr="0015674C" w:rsidRDefault="002563D4" w:rsidP="002563D4">
      <w:pPr>
        <w:spacing w:before="120" w:after="120" w:line="276" w:lineRule="auto"/>
        <w:jc w:val="both"/>
        <w:rPr>
          <w:color w:val="000000" w:themeColor="text1"/>
          <w:sz w:val="22"/>
          <w:szCs w:val="22"/>
        </w:rPr>
      </w:pP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1"/>
          <w:headerReference w:type="default" r:id="rId32"/>
          <w:headerReference w:type="first" r:id="rId33"/>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5A93C209" w:rsidR="00FB29EF" w:rsidRPr="003B1B06" w:rsidRDefault="004C3691" w:rsidP="003B1B06">
            <w:pPr>
              <w:rPr>
                <w:b/>
                <w:bCs/>
              </w:rPr>
            </w:pPr>
            <w:r>
              <w:rPr>
                <w:b/>
                <w:bCs/>
              </w:rPr>
              <w:t>Server</w:t>
            </w:r>
          </w:p>
        </w:tc>
        <w:tc>
          <w:tcPr>
            <w:tcW w:w="1134" w:type="dxa"/>
            <w:vAlign w:val="center"/>
          </w:tcPr>
          <w:p w14:paraId="70E54E4C" w14:textId="38758E2B" w:rsidR="00FB29EF" w:rsidRPr="003B1B06" w:rsidRDefault="004C3691" w:rsidP="00056C05">
            <w:pPr>
              <w:rPr>
                <w:b/>
                <w:bCs/>
              </w:rPr>
            </w:pPr>
            <w:r>
              <w:rPr>
                <w:b/>
                <w:bCs/>
              </w:rPr>
              <w:t>1</w:t>
            </w:r>
          </w:p>
        </w:tc>
        <w:tc>
          <w:tcPr>
            <w:tcW w:w="3969" w:type="dxa"/>
            <w:vAlign w:val="center"/>
          </w:tcPr>
          <w:p w14:paraId="27F99BEB" w14:textId="5C0C7891"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54E8E982" w:rsidR="00721C40" w:rsidRPr="003B1B06" w:rsidRDefault="004C3691" w:rsidP="003B1B06">
            <w:pPr>
              <w:rPr>
                <w:b/>
                <w:bCs/>
              </w:rPr>
            </w:pPr>
            <w:r w:rsidRPr="004C3691">
              <w:rPr>
                <w:b/>
                <w:bCs/>
              </w:rPr>
              <w:t>Supply and Installation of Integrated Data Center</w:t>
            </w:r>
          </w:p>
        </w:tc>
        <w:tc>
          <w:tcPr>
            <w:tcW w:w="1134" w:type="dxa"/>
            <w:vAlign w:val="center"/>
          </w:tcPr>
          <w:p w14:paraId="7F81494B" w14:textId="10DBD1CE" w:rsidR="00721C40" w:rsidRPr="003B1B06" w:rsidRDefault="004C3691" w:rsidP="00056C05">
            <w:pPr>
              <w:rPr>
                <w:b/>
                <w:bCs/>
              </w:rPr>
            </w:pPr>
            <w:r>
              <w:rPr>
                <w:b/>
                <w:bCs/>
              </w:rPr>
              <w:t>1</w:t>
            </w: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4"/>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5E57E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5E57E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5E57E4" w:rsidRDefault="005E57E4">
      <w:r>
        <w:separator/>
      </w:r>
    </w:p>
  </w:endnote>
  <w:endnote w:type="continuationSeparator" w:id="0">
    <w:p w14:paraId="569C38E2" w14:textId="77777777" w:rsidR="005E57E4" w:rsidRDefault="005E5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5E57E4" w:rsidRDefault="005E5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5E57E4" w:rsidRDefault="005E5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5E57E4" w:rsidRDefault="005E57E4">
      <w:r>
        <w:separator/>
      </w:r>
    </w:p>
  </w:footnote>
  <w:footnote w:type="continuationSeparator" w:id="0">
    <w:p w14:paraId="36880028" w14:textId="77777777" w:rsidR="005E57E4" w:rsidRDefault="005E57E4">
      <w:r>
        <w:continuationSeparator/>
      </w:r>
    </w:p>
  </w:footnote>
  <w:footnote w:id="1">
    <w:p w14:paraId="47B2306C" w14:textId="77777777" w:rsidR="005E57E4" w:rsidRPr="0049153D" w:rsidRDefault="005E57E4"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5E57E4" w:rsidRDefault="005E57E4"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5E57E4" w:rsidRDefault="005E57E4"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5E57E4" w:rsidRDefault="005E57E4"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5E57E4" w:rsidRPr="00BC09A2" w:rsidRDefault="005E57E4"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5E57E4" w:rsidRPr="00BC09A2" w:rsidRDefault="005E57E4"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5E57E4" w:rsidRDefault="005E57E4" w:rsidP="001D25F8">
    <w:pPr>
      <w:pStyle w:val="Header"/>
      <w:ind w:right="54" w:firstLine="360"/>
      <w:jc w:val="right"/>
    </w:pPr>
    <w:r>
      <w:t>Section I. Instructions to Tenderers</w:t>
    </w:r>
  </w:p>
  <w:p w14:paraId="7C157FC6" w14:textId="77777777" w:rsidR="005E57E4" w:rsidRDefault="005E57E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5E57E4" w:rsidRDefault="005E57E4">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5E57E4" w:rsidRDefault="005E57E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5E57E4" w:rsidRPr="008576AF" w:rsidRDefault="005E57E4"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5E57E4" w:rsidRDefault="005E57E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5E57E4" w:rsidRDefault="005E57E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5E57E4" w:rsidRDefault="005E57E4">
    <w:pPr>
      <w:pStyle w:val="Header"/>
      <w:ind w:right="-36"/>
    </w:pPr>
    <w:r>
      <w:t>Section III. Evaluation and Qualification Criteria</w:t>
    </w:r>
  </w:p>
  <w:p w14:paraId="4039E664" w14:textId="77777777" w:rsidR="005E57E4" w:rsidRDefault="005E57E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5E57E4" w:rsidRDefault="005E57E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5E57E4" w:rsidRDefault="005E57E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5E57E4" w:rsidRDefault="005E57E4"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5E57E4" w:rsidRDefault="005E57E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5E57E4" w:rsidRDefault="005E57E4"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5E57E4" w:rsidRDefault="005E57E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5E57E4" w:rsidRDefault="005E57E4"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5E57E4" w:rsidRDefault="005E57E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5E57E4" w:rsidRDefault="005E57E4"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5E57E4" w:rsidRDefault="005E57E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5E57E4" w:rsidRDefault="005E57E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5E57E4" w:rsidRDefault="005E57E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5E57E4" w:rsidRDefault="005E57E4">
    <w:pPr>
      <w:pStyle w:val="Header"/>
      <w:ind w:right="-36"/>
    </w:pPr>
    <w:r>
      <w:t>Section I. Instructions to Bidders</w:t>
    </w:r>
  </w:p>
  <w:p w14:paraId="15FE98DF" w14:textId="77777777" w:rsidR="005E57E4" w:rsidRDefault="005E57E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5E57E4" w:rsidRDefault="005E57E4">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5E57E4" w:rsidRDefault="005E57E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5E57E4" w:rsidRDefault="005E57E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5E57E4" w:rsidRDefault="005E57E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5E57E4" w:rsidRDefault="005E57E4">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5E57E4" w:rsidRDefault="005E57E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5E57E4" w:rsidRDefault="005E57E4">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5E57E4" w:rsidRDefault="005E57E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5E57E4" w:rsidRDefault="005E57E4">
    <w:pPr>
      <w:pStyle w:val="Header"/>
      <w:framePr w:wrap="around" w:vAnchor="text" w:hAnchor="page" w:x="1297" w:y="-2"/>
      <w:rPr>
        <w:rStyle w:val="PageNumber"/>
        <w:sz w:val="24"/>
      </w:rPr>
    </w:pPr>
  </w:p>
  <w:p w14:paraId="03F11D33" w14:textId="72D380DD" w:rsidR="005E57E4" w:rsidRDefault="005E57E4">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5E57E4" w:rsidRDefault="005E57E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5E57E4" w:rsidRDefault="005E57E4">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5E57E4" w:rsidRDefault="005E57E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5E57E4" w:rsidRDefault="005E57E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5E57E4" w:rsidRDefault="005E57E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5E57E4" w:rsidRDefault="005E57E4"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5E57E4" w:rsidRDefault="005E57E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5E57E4" w:rsidRDefault="005E57E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5E57E4" w:rsidRDefault="005E57E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5E57E4" w:rsidRDefault="005E57E4"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5E57E4" w:rsidRDefault="005E57E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5E57E4" w:rsidRDefault="005E57E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5E57E4" w:rsidRDefault="005E57E4" w:rsidP="00B95277">
    <w:pPr>
      <w:pStyle w:val="Header"/>
      <w:ind w:right="54" w:firstLine="360"/>
      <w:jc w:val="right"/>
    </w:pPr>
    <w:r>
      <w:t>Section I Instructions to Tenderers</w:t>
    </w:r>
  </w:p>
  <w:p w14:paraId="0088454A" w14:textId="77777777" w:rsidR="005E57E4" w:rsidRDefault="005E57E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5E57E4" w:rsidRDefault="005E57E4" w:rsidP="00B95277">
    <w:pPr>
      <w:pStyle w:val="Header"/>
      <w:ind w:right="-36"/>
    </w:pPr>
    <w:r>
      <w:t>Section I Instructions to Tenderers</w:t>
    </w:r>
  </w:p>
  <w:p w14:paraId="39C64DF8" w14:textId="77777777" w:rsidR="005E57E4" w:rsidRDefault="005E57E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5E57E4" w:rsidRDefault="005E57E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5E57E4" w:rsidRDefault="005E57E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5E57E4" w:rsidRDefault="005E57E4"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5E57E4" w:rsidRDefault="005E57E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5E57E4" w:rsidRDefault="005E57E4">
    <w:pPr>
      <w:pStyle w:val="Header"/>
      <w:ind w:right="-36"/>
    </w:pPr>
    <w:r>
      <w:t>Section II Bid Data Sheet</w:t>
    </w:r>
  </w:p>
  <w:p w14:paraId="12C27E39" w14:textId="77777777" w:rsidR="005E57E4" w:rsidRDefault="005E57E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63D4"/>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1CE1"/>
    <w:rsid w:val="004220C1"/>
    <w:rsid w:val="004222CA"/>
    <w:rsid w:val="004236F9"/>
    <w:rsid w:val="004262F3"/>
    <w:rsid w:val="00426A0D"/>
    <w:rsid w:val="00426D3A"/>
    <w:rsid w:val="004275FD"/>
    <w:rsid w:val="00427D45"/>
    <w:rsid w:val="0043023F"/>
    <w:rsid w:val="00430A0F"/>
    <w:rsid w:val="00431FEC"/>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20"/>
    <w:rsid w:val="004B26E7"/>
    <w:rsid w:val="004B2DA0"/>
    <w:rsid w:val="004B43A7"/>
    <w:rsid w:val="004B4588"/>
    <w:rsid w:val="004B4EB2"/>
    <w:rsid w:val="004B5109"/>
    <w:rsid w:val="004B588F"/>
    <w:rsid w:val="004B5C9A"/>
    <w:rsid w:val="004B67A7"/>
    <w:rsid w:val="004B7923"/>
    <w:rsid w:val="004C0505"/>
    <w:rsid w:val="004C3691"/>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20"/>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57E4"/>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9B9"/>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6EE"/>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35199233">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55604425">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267888331">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mailto:tender@finance.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project.offic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ibrahim.aflah@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ibrahim.aflah@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mailto:project.officer@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E826F-2D35-4A92-9F49-39B4E647F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20568</Words>
  <Characters>117241</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137534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2</cp:revision>
  <cp:lastPrinted>2019-09-15T07:51:00Z</cp:lastPrinted>
  <dcterms:created xsi:type="dcterms:W3CDTF">2022-12-08T07:15:00Z</dcterms:created>
  <dcterms:modified xsi:type="dcterms:W3CDTF">2022-12-08T07:15:00Z</dcterms:modified>
</cp:coreProperties>
</file>