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24C27DB5" w:rsidR="00070046" w:rsidRDefault="00070046" w:rsidP="00E05ED1">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2438DE">
        <w:rPr>
          <w:b/>
          <w:bCs/>
          <w:color w:val="000000"/>
          <w:sz w:val="40"/>
          <w:szCs w:val="40"/>
        </w:rPr>
        <w:t>1/G-005</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4A1C1287" w:rsidR="00070046" w:rsidRPr="002438DE" w:rsidRDefault="002438DE" w:rsidP="00216EA5">
            <w:pPr>
              <w:spacing w:after="240" w:line="259" w:lineRule="auto"/>
              <w:jc w:val="center"/>
              <w:rPr>
                <w:rFonts w:asciiTheme="majorBidi" w:hAnsiTheme="majorBidi" w:cstheme="majorBidi"/>
                <w:b/>
                <w:bCs/>
                <w:sz w:val="44"/>
                <w:szCs w:val="44"/>
              </w:rPr>
            </w:pPr>
            <w:r w:rsidRPr="002438DE">
              <w:rPr>
                <w:rFonts w:asciiTheme="majorBidi" w:hAnsiTheme="majorBidi" w:cstheme="majorBidi"/>
                <w:b/>
                <w:bCs/>
                <w:sz w:val="44"/>
                <w:szCs w:val="44"/>
              </w:rPr>
              <w:t>Associated Total Offender Management System Software Creation</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5F506A9D"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E213C6">
        <w:rPr>
          <w:b/>
          <w:bCs/>
          <w:noProof/>
          <w:color w:val="FF0000"/>
          <w:spacing w:val="30"/>
          <w:sz w:val="32"/>
          <w:szCs w:val="32"/>
        </w:rPr>
        <w:t>April 14, 2021</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6710A56E" w:rsidR="00070046" w:rsidRPr="006125EB" w:rsidRDefault="00070046" w:rsidP="005B392E">
            <w:pPr>
              <w:tabs>
                <w:tab w:val="right" w:pos="7272"/>
              </w:tabs>
              <w:spacing w:before="60" w:after="60"/>
              <w:rPr>
                <w:b/>
                <w:bCs/>
              </w:rPr>
            </w:pPr>
            <w:r>
              <w:t xml:space="preserve">The name of the ICB is: </w:t>
            </w:r>
            <w:r w:rsidR="002E1CF7" w:rsidRPr="002E1CF7">
              <w:rPr>
                <w:b/>
                <w:bCs/>
              </w:rPr>
              <w:t>Associated Total Offender Management System Software Creation</w:t>
            </w:r>
            <w:r w:rsidR="006125EB" w:rsidRPr="006125EB">
              <w:rPr>
                <w:b/>
                <w:bCs/>
              </w:rPr>
              <w:tab/>
            </w:r>
          </w:p>
          <w:p w14:paraId="376DF665" w14:textId="42C9D250"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2E1CF7">
              <w:rPr>
                <w:b/>
                <w:bCs/>
              </w:rPr>
              <w:t>2021/99</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47AAB317" w14:textId="5701A450" w:rsidR="00070046" w:rsidRPr="004A50A8" w:rsidRDefault="00070046" w:rsidP="00624489">
            <w:pPr>
              <w:pStyle w:val="BodyText"/>
              <w:tabs>
                <w:tab w:val="left" w:pos="1521"/>
              </w:tabs>
              <w:rPr>
                <w:lang w:val="it-IT"/>
              </w:rPr>
            </w:pPr>
            <w:r>
              <w:rPr>
                <w:lang w:val="it-IT"/>
              </w:rPr>
              <w:t xml:space="preserve">                  CC:</w:t>
            </w:r>
            <w:r w:rsidR="00624489">
              <w:rPr>
                <w:lang w:val="it-IT"/>
              </w:rPr>
              <w:fldChar w:fldCharType="begin"/>
            </w:r>
            <w:r w:rsidR="00624489">
              <w:rPr>
                <w:lang w:val="it-IT"/>
              </w:rPr>
              <w:instrText xml:space="preserve"> HYPERLINK "mailto:</w:instrText>
            </w:r>
            <w:r w:rsidR="00624489" w:rsidRPr="00624489">
              <w:rPr>
                <w:lang w:val="it-IT"/>
              </w:rPr>
              <w:instrText>tender@finance.gov.mv</w:instrText>
            </w:r>
            <w:r w:rsidR="00624489">
              <w:rPr>
                <w:lang w:val="it-IT"/>
              </w:rPr>
              <w:instrText xml:space="preserve">" </w:instrText>
            </w:r>
            <w:r w:rsidR="00624489">
              <w:rPr>
                <w:lang w:val="it-IT"/>
              </w:rPr>
              <w:fldChar w:fldCharType="separate"/>
            </w:r>
            <w:r w:rsidR="00624489" w:rsidRPr="001767CE">
              <w:rPr>
                <w:rStyle w:val="Hyperlink"/>
                <w:lang w:val="it-IT"/>
              </w:rPr>
              <w:t>tender@finance.gov.mv</w:t>
            </w:r>
            <w:r w:rsidR="00624489">
              <w:rPr>
                <w:lang w:val="it-IT"/>
              </w:rPr>
              <w:fldChar w:fldCharType="end"/>
            </w:r>
          </w:p>
          <w:p w14:paraId="653765BE" w14:textId="06DA2A0E"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2E1CF7">
              <w:rPr>
                <w:b/>
                <w:bCs/>
                <w:color w:val="FF0000"/>
                <w:sz w:val="22"/>
                <w:szCs w:val="22"/>
              </w:rPr>
              <w:t>4</w:t>
            </w:r>
            <w:r w:rsidR="002E1CF7" w:rsidRPr="002E1CF7">
              <w:rPr>
                <w:b/>
                <w:bCs/>
                <w:color w:val="FF0000"/>
                <w:sz w:val="22"/>
                <w:szCs w:val="22"/>
                <w:vertAlign w:val="superscript"/>
              </w:rPr>
              <w:t>th</w:t>
            </w:r>
            <w:r w:rsidR="002E1CF7">
              <w:rPr>
                <w:b/>
                <w:bCs/>
                <w:color w:val="FF0000"/>
                <w:sz w:val="22"/>
                <w:szCs w:val="22"/>
              </w:rPr>
              <w:t xml:space="preserve"> April</w:t>
            </w:r>
            <w:r w:rsidR="008F356F">
              <w:rPr>
                <w:b/>
                <w:bCs/>
                <w:color w:val="FF0000"/>
                <w:sz w:val="22"/>
                <w:szCs w:val="22"/>
              </w:rPr>
              <w:t>, 202</w:t>
            </w:r>
            <w:r w:rsidR="002E1CF7">
              <w:rPr>
                <w:b/>
                <w:bCs/>
                <w:color w:val="FF0000"/>
                <w:sz w:val="22"/>
                <w:szCs w:val="22"/>
              </w:rPr>
              <w:t>1</w:t>
            </w:r>
            <w:r w:rsidR="008F356F">
              <w:rPr>
                <w:b/>
                <w:bCs/>
                <w:color w:val="FF0000"/>
                <w:sz w:val="22"/>
                <w:szCs w:val="22"/>
              </w:rPr>
              <w:t xml:space="preserve"> |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7DF782B" w14:textId="77777777" w:rsidR="00216EA5"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3386DB6F" w:rsidR="00B57314" w:rsidRPr="006125EB" w:rsidRDefault="00B57314" w:rsidP="006125EB">
            <w:pPr>
              <w:pStyle w:val="ListParagraph"/>
              <w:numPr>
                <w:ilvl w:val="3"/>
                <w:numId w:val="76"/>
              </w:numPr>
              <w:tabs>
                <w:tab w:val="right" w:pos="682"/>
                <w:tab w:val="right" w:pos="1249"/>
              </w:tabs>
              <w:spacing w:before="120" w:after="120"/>
              <w:ind w:left="252"/>
              <w:rPr>
                <w:szCs w:val="24"/>
              </w:rPr>
            </w:pPr>
            <w:r w:rsidRPr="00B57314">
              <w:rPr>
                <w:szCs w:val="24"/>
              </w:rPr>
              <w:t>Product Broacher including all the information</w:t>
            </w:r>
            <w:r>
              <w:rPr>
                <w:szCs w:val="24"/>
              </w:rPr>
              <w:t xml:space="preserve"> (Spec of the proposed product)</w:t>
            </w:r>
            <w:r w:rsidRPr="00B57314">
              <w:rPr>
                <w:szCs w:val="24"/>
              </w:rPr>
              <w:t xml:space="preserve"> </w:t>
            </w:r>
            <w:r>
              <w:rPr>
                <w:szCs w:val="24"/>
              </w:rPr>
              <w:t>required</w:t>
            </w:r>
            <w:r w:rsidRPr="00B57314">
              <w:rPr>
                <w:szCs w:val="24"/>
              </w:rPr>
              <w:t xml:space="preserve"> in the specification.</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6373EDB9"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B57314">
              <w:rPr>
                <w:rFonts w:ascii="Times New Roman" w:hAnsi="Times New Roman"/>
                <w:b/>
                <w:bCs/>
                <w:color w:val="000000" w:themeColor="text1"/>
                <w:szCs w:val="24"/>
              </w:rPr>
              <w:t xml:space="preserve">Ministry of Defense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479418A4"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5B392E">
              <w:rPr>
                <w:rFonts w:ascii="Times New Roman" w:hAnsi="Times New Roman"/>
                <w:b/>
                <w:bCs/>
                <w:color w:val="000000" w:themeColor="text1"/>
                <w:szCs w:val="24"/>
              </w:rPr>
              <w:t xml:space="preserve"> </w:t>
            </w:r>
            <w:r w:rsidR="00B57314">
              <w:rPr>
                <w:rFonts w:ascii="Times New Roman" w:hAnsi="Times New Roman"/>
                <w:b/>
                <w:bCs/>
                <w:color w:val="000000" w:themeColor="text1"/>
                <w:szCs w:val="24"/>
              </w:rPr>
              <w:t xml:space="preserve"> </w:t>
            </w:r>
            <w:r w:rsidR="00B57314" w:rsidRPr="00B55785">
              <w:rPr>
                <w:rFonts w:ascii="Times New Roman" w:hAnsi="Times New Roman"/>
                <w:b/>
                <w:bCs/>
                <w:color w:val="000000" w:themeColor="text1"/>
                <w:szCs w:val="24"/>
                <w:highlight w:val="yellow"/>
              </w:rPr>
              <w:t>Ministry of Defense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3E324D2B"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2E1CF7">
              <w:rPr>
                <w:b/>
                <w:bCs/>
                <w:color w:val="FF0000"/>
                <w:sz w:val="22"/>
                <w:szCs w:val="22"/>
              </w:rPr>
              <w:t>55</w:t>
            </w:r>
            <w:r w:rsidR="00B825B8" w:rsidRPr="00533B0F">
              <w:rPr>
                <w:b/>
                <w:bCs/>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lastRenderedPageBreak/>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lastRenderedPageBreak/>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2671A555" w14:textId="77777777" w:rsidR="0025710C" w:rsidRPr="005169CE" w:rsidRDefault="0025710C" w:rsidP="0025710C">
            <w:pPr>
              <w:tabs>
                <w:tab w:val="right" w:pos="7254"/>
              </w:tabs>
              <w:spacing w:before="120" w:after="120"/>
              <w:jc w:val="both"/>
              <w:rPr>
                <w:sz w:val="16"/>
                <w:szCs w:val="12"/>
              </w:rPr>
            </w:pPr>
          </w:p>
          <w:p w14:paraId="10DA92AD" w14:textId="63BA5B18" w:rsidR="00053952" w:rsidRPr="002E1CF7" w:rsidRDefault="002B4D97" w:rsidP="00624489">
            <w:pPr>
              <w:tabs>
                <w:tab w:val="right" w:pos="7254"/>
              </w:tabs>
              <w:spacing w:before="120" w:after="120"/>
              <w:jc w:val="both"/>
              <w:rPr>
                <w:b/>
                <w:bCs/>
                <w:i/>
                <w:iCs/>
              </w:rPr>
            </w:pPr>
            <w:r w:rsidRPr="002E1CF7">
              <w:rPr>
                <w:b/>
                <w:bCs/>
              </w:rPr>
              <w:t>TES/</w:t>
            </w:r>
            <w:r w:rsidR="002E1CF7" w:rsidRPr="002E1CF7">
              <w:rPr>
                <w:b/>
                <w:bCs/>
              </w:rPr>
              <w:t>2021/G-005</w:t>
            </w:r>
            <w:r w:rsidR="003332D4" w:rsidRPr="002E1CF7">
              <w:rPr>
                <w:b/>
                <w:bCs/>
              </w:rPr>
              <w:t>-</w:t>
            </w:r>
            <w:r w:rsidR="002E1CF7" w:rsidRPr="002E1CF7">
              <w:rPr>
                <w:b/>
                <w:bCs/>
              </w:rPr>
              <w:t>Associated Total Offender Management System Software Creation</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0"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E213C6" w:rsidP="0025710C">
            <w:pPr>
              <w:pStyle w:val="BodyText"/>
              <w:tabs>
                <w:tab w:val="left" w:pos="1521"/>
              </w:tabs>
              <w:rPr>
                <w:i/>
                <w:iCs/>
                <w:color w:val="FF0000"/>
                <w:lang w:val="it-IT"/>
              </w:rPr>
            </w:pPr>
            <w:hyperlink r:id="rId21"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2E013483" w:rsidR="0025710C" w:rsidRPr="007413A8" w:rsidRDefault="0025710C" w:rsidP="00624489">
            <w:pPr>
              <w:tabs>
                <w:tab w:val="right" w:pos="7254"/>
              </w:tabs>
              <w:spacing w:before="120" w:after="120"/>
              <w:rPr>
                <w:b/>
                <w:bCs/>
                <w:szCs w:val="24"/>
              </w:rPr>
            </w:pPr>
            <w:bookmarkStart w:id="320" w:name="_Hlk69291410"/>
            <w:r w:rsidRPr="00053952">
              <w:rPr>
                <w:b/>
                <w:bCs/>
                <w:szCs w:val="24"/>
              </w:rPr>
              <w:t>Date:</w:t>
            </w:r>
            <w:r>
              <w:rPr>
                <w:b/>
                <w:bCs/>
                <w:color w:val="FF0000"/>
                <w:szCs w:val="24"/>
              </w:rPr>
              <w:t xml:space="preserve"> </w:t>
            </w:r>
            <w:r w:rsidR="002E1CF7">
              <w:rPr>
                <w:b/>
                <w:bCs/>
                <w:color w:val="FF0000"/>
                <w:szCs w:val="24"/>
              </w:rPr>
              <w:t>20</w:t>
            </w:r>
            <w:r w:rsidR="002E1CF7" w:rsidRPr="002E1CF7">
              <w:rPr>
                <w:b/>
                <w:bCs/>
                <w:color w:val="FF0000"/>
                <w:szCs w:val="24"/>
                <w:vertAlign w:val="superscript"/>
              </w:rPr>
              <w:t>th</w:t>
            </w:r>
            <w:r w:rsidR="002E1CF7">
              <w:rPr>
                <w:b/>
                <w:bCs/>
                <w:color w:val="FF0000"/>
                <w:szCs w:val="24"/>
              </w:rPr>
              <w:t xml:space="preserve"> April,</w:t>
            </w:r>
          </w:p>
          <w:p w14:paraId="10898C2C" w14:textId="67881978" w:rsidR="00053952" w:rsidRPr="00053952" w:rsidRDefault="0025710C" w:rsidP="00624489">
            <w:pPr>
              <w:tabs>
                <w:tab w:val="right" w:pos="7254"/>
              </w:tabs>
              <w:spacing w:before="120" w:after="120"/>
              <w:rPr>
                <w:b/>
                <w:bCs/>
                <w:szCs w:val="24"/>
              </w:rPr>
            </w:pPr>
            <w:r w:rsidRPr="007413A8">
              <w:rPr>
                <w:b/>
                <w:bCs/>
                <w:szCs w:val="24"/>
              </w:rPr>
              <w:t xml:space="preserve">Time: </w:t>
            </w:r>
            <w:r w:rsidRPr="007413A8">
              <w:rPr>
                <w:b/>
                <w:bCs/>
                <w:color w:val="FF0000"/>
                <w:szCs w:val="24"/>
              </w:rPr>
              <w:t>1</w:t>
            </w:r>
            <w:r w:rsidR="002E1CF7">
              <w:rPr>
                <w:b/>
                <w:bCs/>
                <w:color w:val="FF0000"/>
                <w:szCs w:val="24"/>
              </w:rPr>
              <w:t>1</w:t>
            </w:r>
            <w:r w:rsidRPr="007413A8">
              <w:rPr>
                <w:b/>
                <w:bCs/>
                <w:color w:val="FF0000"/>
                <w:szCs w:val="24"/>
              </w:rPr>
              <w:t>00 hrs (Local Time)</w:t>
            </w:r>
            <w:bookmarkEnd w:id="320"/>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374C615" w14:textId="77777777" w:rsidR="002E1CF7" w:rsidRPr="007413A8" w:rsidRDefault="002E1CF7" w:rsidP="002E1CF7">
            <w:pPr>
              <w:tabs>
                <w:tab w:val="right" w:pos="7254"/>
              </w:tabs>
              <w:spacing w:before="120" w:after="120"/>
              <w:rPr>
                <w:b/>
                <w:bCs/>
                <w:szCs w:val="24"/>
              </w:rPr>
            </w:pPr>
            <w:r w:rsidRPr="00053952">
              <w:rPr>
                <w:b/>
                <w:bCs/>
                <w:szCs w:val="24"/>
              </w:rPr>
              <w:t>Date:</w:t>
            </w:r>
            <w:r>
              <w:rPr>
                <w:b/>
                <w:bCs/>
                <w:color w:val="FF0000"/>
                <w:szCs w:val="24"/>
              </w:rPr>
              <w:t xml:space="preserve"> 20</w:t>
            </w:r>
            <w:r w:rsidRPr="002E1CF7">
              <w:rPr>
                <w:b/>
                <w:bCs/>
                <w:color w:val="FF0000"/>
                <w:szCs w:val="24"/>
                <w:vertAlign w:val="superscript"/>
              </w:rPr>
              <w:t>th</w:t>
            </w:r>
            <w:r>
              <w:rPr>
                <w:b/>
                <w:bCs/>
                <w:color w:val="FF0000"/>
                <w:szCs w:val="24"/>
              </w:rPr>
              <w:t xml:space="preserve"> April,</w:t>
            </w:r>
          </w:p>
          <w:p w14:paraId="63E4D483" w14:textId="31DFD0C6" w:rsidR="003E4E20" w:rsidRPr="00053952" w:rsidRDefault="002E1CF7" w:rsidP="002E1CF7">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1</w:t>
            </w:r>
            <w:r w:rsidRPr="007413A8">
              <w:rPr>
                <w:b/>
                <w:bCs/>
                <w:color w:val="FF0000"/>
                <w:szCs w:val="24"/>
              </w:rPr>
              <w:t>00 hrs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lastRenderedPageBreak/>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lastRenderedPageBreak/>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lastRenderedPageBreak/>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2"/>
          <w:headerReference w:type="default" r:id="rId23"/>
          <w:headerReference w:type="first" r:id="rId24"/>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3D97706B" w:rsidR="0022599E"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t>Technical alternatives, if permitted under ITB 13.4, will be evaluated as follows:</w:t>
      </w:r>
      <w:bookmarkEnd w:id="343"/>
      <w:bookmarkEnd w:id="344"/>
      <w:bookmarkEnd w:id="345"/>
      <w:bookmarkEnd w:id="346"/>
    </w:p>
    <w:p w14:paraId="548CCCD2" w14:textId="77777777" w:rsidR="00013F28" w:rsidRPr="005C445F" w:rsidRDefault="00013F28" w:rsidP="00013F28">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proofErr w:type="gramStart"/>
            <w:r w:rsidRPr="0066290A">
              <w:rPr>
                <w:color w:val="000000"/>
                <w:sz w:val="22"/>
                <w:szCs w:val="22"/>
              </w:rPr>
              <w:t>Existing  JV</w:t>
            </w:r>
            <w:proofErr w:type="gramEnd"/>
            <w:r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77C3E77F" w:rsidR="008E1614" w:rsidRPr="0066290A"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66290A">
              <w:rPr>
                <w:sz w:val="22"/>
                <w:szCs w:val="22"/>
              </w:rPr>
              <w:t>2.</w:t>
            </w:r>
            <w:r w:rsidR="00290191" w:rsidRPr="0066290A">
              <w:rPr>
                <w:sz w:val="22"/>
                <w:szCs w:val="22"/>
              </w:rPr>
              <w:t>3</w:t>
            </w:r>
            <w:r w:rsidRPr="0066290A">
              <w:rPr>
                <w:sz w:val="22"/>
                <w:szCs w:val="22"/>
              </w:rPr>
              <w:t xml:space="preserve"> </w:t>
            </w:r>
            <w:r w:rsidRPr="0066290A">
              <w:rPr>
                <w:sz w:val="22"/>
                <w:szCs w:val="22"/>
              </w:rPr>
              <w:tab/>
              <w:t>Financial Situation</w:t>
            </w:r>
            <w:bookmarkEnd w:id="350"/>
            <w:bookmarkEnd w:id="351"/>
            <w:bookmarkEnd w:id="352"/>
            <w:bookmarkEnd w:id="353"/>
            <w:bookmarkEnd w:id="354"/>
            <w:bookmarkEnd w:id="355"/>
            <w:bookmarkEnd w:id="356"/>
            <w:bookmarkEnd w:id="357"/>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77777777" w:rsidR="008E1614" w:rsidRPr="0066290A" w:rsidRDefault="008E1614" w:rsidP="008E1614">
            <w:pPr>
              <w:spacing w:line="276" w:lineRule="auto"/>
              <w:rPr>
                <w:sz w:val="22"/>
                <w:szCs w:val="22"/>
              </w:rPr>
            </w:pPr>
            <w:bookmarkStart w:id="358" w:name="_Toc496968131"/>
            <w:r w:rsidRPr="0066290A">
              <w:rPr>
                <w:sz w:val="22"/>
                <w:szCs w:val="22"/>
              </w:rPr>
              <w:t>2.3.1 Historical Financial Performance</w:t>
            </w:r>
            <w:bookmarkEnd w:id="358"/>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proofErr w:type="gramStart"/>
            <w:r w:rsidRPr="0066290A">
              <w:rPr>
                <w:sz w:val="22"/>
                <w:szCs w:val="22"/>
              </w:rPr>
              <w:t>long term</w:t>
            </w:r>
            <w:proofErr w:type="gramEnd"/>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77777777" w:rsidR="0025710C" w:rsidRPr="0066290A" w:rsidRDefault="0025710C" w:rsidP="0025710C">
            <w:pPr>
              <w:spacing w:line="276" w:lineRule="auto"/>
              <w:rPr>
                <w:sz w:val="22"/>
                <w:szCs w:val="22"/>
              </w:rPr>
            </w:pPr>
            <w:r w:rsidRPr="0066290A">
              <w:rPr>
                <w:sz w:val="22"/>
                <w:szCs w:val="22"/>
              </w:rPr>
              <w:t>2.3.2.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06AE4138" w:rsidR="0025710C" w:rsidRPr="0066290A" w:rsidRDefault="0025710C" w:rsidP="0027018A">
            <w:pPr>
              <w:spacing w:line="276" w:lineRule="auto"/>
              <w:rPr>
                <w:sz w:val="22"/>
                <w:szCs w:val="22"/>
              </w:rPr>
            </w:pPr>
            <w:r w:rsidRPr="0066290A">
              <w:rPr>
                <w:sz w:val="22"/>
                <w:szCs w:val="22"/>
              </w:rPr>
              <w:t xml:space="preserve">Minimum average annual turnover of </w:t>
            </w:r>
            <w:r w:rsidRPr="0066290A">
              <w:rPr>
                <w:b/>
                <w:bCs/>
                <w:color w:val="0070C0"/>
                <w:sz w:val="22"/>
                <w:szCs w:val="22"/>
              </w:rPr>
              <w:t xml:space="preserve">MVR </w:t>
            </w:r>
            <w:r w:rsidR="00B55785" w:rsidRPr="0066290A">
              <w:rPr>
                <w:b/>
                <w:bCs/>
                <w:color w:val="0070C0"/>
                <w:sz w:val="22"/>
                <w:szCs w:val="22"/>
              </w:rPr>
              <w:t>5.5</w:t>
            </w:r>
            <w:r w:rsidR="003211EB" w:rsidRPr="0066290A">
              <w:rPr>
                <w:b/>
                <w:bCs/>
                <w:color w:val="0070C0"/>
                <w:sz w:val="22"/>
                <w:szCs w:val="22"/>
              </w:rPr>
              <w:t xml:space="preserve"> </w:t>
            </w:r>
            <w:r w:rsidRPr="0066290A">
              <w:rPr>
                <w:b/>
                <w:bCs/>
                <w:color w:val="0070C0"/>
                <w:sz w:val="22"/>
                <w:szCs w:val="22"/>
              </w:rPr>
              <w:t>million</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77777777" w:rsidR="0025710C" w:rsidRPr="0066290A" w:rsidRDefault="0025710C" w:rsidP="0025710C">
            <w:pPr>
              <w:spacing w:line="276" w:lineRule="auto"/>
              <w:rPr>
                <w:sz w:val="22"/>
                <w:szCs w:val="22"/>
              </w:rPr>
            </w:pPr>
            <w:r w:rsidRPr="0066290A">
              <w:rPr>
                <w:sz w:val="22"/>
                <w:szCs w:val="22"/>
              </w:rPr>
              <w:lastRenderedPageBreak/>
              <w:t xml:space="preserve">2.3.3. </w:t>
            </w:r>
            <w:proofErr w:type="gramStart"/>
            <w:r w:rsidRPr="0066290A">
              <w:rPr>
                <w:sz w:val="22"/>
                <w:szCs w:val="22"/>
              </w:rPr>
              <w:t>Financial  Resources</w:t>
            </w:r>
            <w:proofErr w:type="gramEnd"/>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4EB9412E"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B55785" w:rsidRPr="0066290A">
              <w:rPr>
                <w:rFonts w:asciiTheme="majorBidi" w:hAnsiTheme="majorBidi" w:cstheme="majorBidi"/>
                <w:b/>
                <w:bCs/>
                <w:color w:val="0070C0"/>
                <w:sz w:val="22"/>
                <w:szCs w:val="22"/>
              </w:rPr>
              <w:t>1.7</w:t>
            </w:r>
            <w:r w:rsidR="00056C05" w:rsidRPr="0066290A">
              <w:rPr>
                <w:rFonts w:asciiTheme="majorBidi" w:hAnsiTheme="majorBidi" w:cstheme="majorBidi"/>
                <w:b/>
                <w:bCs/>
                <w:color w:val="0070C0"/>
                <w:sz w:val="22"/>
                <w:szCs w:val="22"/>
              </w:rPr>
              <w:t xml:space="preserve"> Million</w:t>
            </w:r>
            <w:r w:rsidRPr="0066290A">
              <w:rPr>
                <w:rFonts w:asciiTheme="majorBidi" w:hAnsiTheme="majorBidi" w:cstheme="majorBidi"/>
                <w:b/>
                <w:bCs/>
                <w:color w:val="0070C0"/>
                <w:sz w:val="22"/>
                <w:szCs w:val="22"/>
              </w:rPr>
              <w:t xml:space="preserve"> </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3C761A74" w:rsidR="008E1614" w:rsidRPr="0066290A" w:rsidRDefault="008E1614" w:rsidP="00290191">
            <w:pPr>
              <w:pStyle w:val="S3-Heading2"/>
              <w:spacing w:line="276" w:lineRule="auto"/>
              <w:rPr>
                <w:sz w:val="22"/>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66290A">
              <w:rPr>
                <w:sz w:val="22"/>
                <w:szCs w:val="22"/>
              </w:rPr>
              <w:t>2.</w:t>
            </w:r>
            <w:r w:rsidR="00290191" w:rsidRPr="0066290A">
              <w:rPr>
                <w:sz w:val="22"/>
                <w:szCs w:val="22"/>
              </w:rPr>
              <w:t>4</w:t>
            </w:r>
            <w:r w:rsidRPr="0066290A">
              <w:rPr>
                <w:sz w:val="22"/>
                <w:szCs w:val="22"/>
              </w:rPr>
              <w:t xml:space="preserve"> </w:t>
            </w:r>
            <w:r w:rsidRPr="0066290A">
              <w:rPr>
                <w:sz w:val="22"/>
                <w:szCs w:val="22"/>
              </w:rPr>
              <w:tab/>
              <w:t>Experience</w:t>
            </w:r>
            <w:bookmarkEnd w:id="359"/>
            <w:bookmarkEnd w:id="360"/>
            <w:bookmarkEnd w:id="361"/>
            <w:bookmarkEnd w:id="362"/>
            <w:bookmarkEnd w:id="363"/>
            <w:bookmarkEnd w:id="364"/>
            <w:bookmarkEnd w:id="365"/>
            <w:bookmarkEnd w:id="366"/>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77777777" w:rsidR="008E1614" w:rsidRPr="0066290A" w:rsidRDefault="008E1614" w:rsidP="008E1614">
            <w:pPr>
              <w:spacing w:line="276" w:lineRule="auto"/>
              <w:rPr>
                <w:sz w:val="22"/>
                <w:szCs w:val="22"/>
              </w:rPr>
            </w:pPr>
            <w:bookmarkStart w:id="367" w:name="_Toc496968138"/>
            <w:r w:rsidRPr="0066290A">
              <w:rPr>
                <w:sz w:val="22"/>
                <w:szCs w:val="22"/>
              </w:rPr>
              <w:t xml:space="preserve">2.4.1 General Experience </w:t>
            </w:r>
            <w:bookmarkEnd w:id="367"/>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77777777" w:rsidR="008E1614" w:rsidRPr="0066290A" w:rsidRDefault="008E1614" w:rsidP="008E1614">
            <w:pPr>
              <w:spacing w:line="276" w:lineRule="auto"/>
              <w:rPr>
                <w:sz w:val="22"/>
                <w:szCs w:val="22"/>
              </w:rPr>
            </w:pPr>
            <w:r w:rsidRPr="0066290A">
              <w:rPr>
                <w:sz w:val="22"/>
                <w:szCs w:val="22"/>
              </w:rPr>
              <w:t>2.4.2 Specific Experience</w:t>
            </w:r>
          </w:p>
        </w:tc>
        <w:tc>
          <w:tcPr>
            <w:tcW w:w="3085" w:type="dxa"/>
          </w:tcPr>
          <w:p w14:paraId="775FC2FD" w14:textId="712FB632"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B55785" w:rsidRPr="0066290A">
              <w:rPr>
                <w:b/>
                <w:bCs/>
                <w:color w:val="0070C0"/>
                <w:sz w:val="22"/>
                <w:szCs w:val="22"/>
              </w:rPr>
              <w:t>4</w:t>
            </w:r>
            <w:r w:rsidR="008A67B7" w:rsidRPr="0066290A">
              <w:rPr>
                <w:b/>
                <w:bCs/>
                <w:color w:val="0070C0"/>
                <w:sz w:val="22"/>
                <w:szCs w:val="22"/>
              </w:rPr>
              <w:t xml:space="preserve">,000,000.00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13DAFD97" w14:textId="77777777" w:rsidR="008E1614" w:rsidRPr="008B66E1" w:rsidRDefault="008E1614" w:rsidP="00216EA5">
      <w:pPr>
        <w:autoSpaceDE w:val="0"/>
        <w:autoSpaceDN w:val="0"/>
        <w:adjustRightInd w:val="0"/>
        <w:spacing w:after="240"/>
        <w:jc w:val="center"/>
        <w:rPr>
          <w:szCs w:val="24"/>
        </w:rPr>
        <w:sectPr w:rsidR="008E1614" w:rsidRPr="008B66E1" w:rsidSect="00533B0F">
          <w:headerReference w:type="even" r:id="rId26"/>
          <w:headerReference w:type="default" r:id="rId27"/>
          <w:headerReference w:type="first" r:id="rId28"/>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899FB59"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w:t>
            </w:r>
            <w:r w:rsidR="0066290A">
              <w:rPr>
                <w:b/>
                <w:sz w:val="22"/>
                <w:szCs w:val="22"/>
              </w:rPr>
              <w:t>t</w:t>
            </w:r>
            <w:r w:rsidRPr="00633E6D">
              <w:rPr>
                <w:b/>
                <w:sz w:val="22"/>
                <w:szCs w:val="22"/>
              </w:rPr>
              <w:t>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69904D0F" w:rsidR="005012B1" w:rsidRPr="00633E6D" w:rsidRDefault="005012B1" w:rsidP="0027018A">
            <w:pPr>
              <w:spacing w:before="120" w:after="120" w:line="276" w:lineRule="auto"/>
              <w:jc w:val="center"/>
              <w:rPr>
                <w:b/>
                <w:sz w:val="20"/>
              </w:rPr>
            </w:pPr>
            <w:r>
              <w:rPr>
                <w:b/>
                <w:sz w:val="20"/>
              </w:rPr>
              <w:t>201</w:t>
            </w:r>
            <w:r w:rsidR="0027018A">
              <w:rPr>
                <w:b/>
                <w:sz w:val="20"/>
              </w:rPr>
              <w:t>9</w:t>
            </w:r>
          </w:p>
        </w:tc>
        <w:tc>
          <w:tcPr>
            <w:tcW w:w="1440" w:type="dxa"/>
            <w:vAlign w:val="center"/>
          </w:tcPr>
          <w:p w14:paraId="0B5D534E" w14:textId="1D926B57" w:rsidR="005012B1" w:rsidRPr="00633E6D" w:rsidRDefault="005012B1" w:rsidP="0027018A">
            <w:pPr>
              <w:spacing w:before="120" w:after="120" w:line="276" w:lineRule="auto"/>
              <w:jc w:val="center"/>
              <w:rPr>
                <w:b/>
                <w:sz w:val="20"/>
              </w:rPr>
            </w:pPr>
            <w:r>
              <w:rPr>
                <w:b/>
                <w:sz w:val="20"/>
              </w:rPr>
              <w:t>201</w:t>
            </w:r>
            <w:r w:rsidR="0027018A">
              <w:rPr>
                <w:b/>
                <w:sz w:val="20"/>
              </w:rPr>
              <w:t>8</w:t>
            </w:r>
          </w:p>
        </w:tc>
        <w:tc>
          <w:tcPr>
            <w:tcW w:w="1440" w:type="dxa"/>
            <w:vAlign w:val="center"/>
          </w:tcPr>
          <w:p w14:paraId="16518F03" w14:textId="71A1B273" w:rsidR="005012B1" w:rsidRPr="00633E6D" w:rsidRDefault="005012B1" w:rsidP="0027018A">
            <w:pPr>
              <w:spacing w:before="120" w:after="120" w:line="276" w:lineRule="auto"/>
              <w:jc w:val="center"/>
              <w:rPr>
                <w:b/>
                <w:sz w:val="20"/>
              </w:rPr>
            </w:pPr>
            <w:r>
              <w:rPr>
                <w:b/>
                <w:sz w:val="20"/>
              </w:rPr>
              <w:t>201</w:t>
            </w:r>
            <w:r w:rsidR="0027018A">
              <w:rPr>
                <w:b/>
                <w:sz w:val="20"/>
              </w:rPr>
              <w:t>7</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6FC390BC" w:rsidR="005012B1" w:rsidRPr="00633E6D" w:rsidRDefault="005012B1" w:rsidP="0027018A">
            <w:pPr>
              <w:pStyle w:val="BodyText"/>
              <w:spacing w:before="120" w:after="120" w:line="276" w:lineRule="auto"/>
              <w:jc w:val="center"/>
            </w:pPr>
            <w:r>
              <w:t>201</w:t>
            </w:r>
            <w:r w:rsidR="0027018A">
              <w:t>9</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41B0CC18" w:rsidR="005012B1" w:rsidRPr="00633E6D" w:rsidRDefault="005012B1" w:rsidP="0027018A">
            <w:pPr>
              <w:pStyle w:val="BodyText"/>
              <w:spacing w:before="120" w:after="120" w:line="276" w:lineRule="auto"/>
              <w:jc w:val="center"/>
            </w:pPr>
            <w:r>
              <w:t>201</w:t>
            </w:r>
            <w:r w:rsidR="0027018A">
              <w:t>8</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11E1BA2B" w:rsidR="005012B1" w:rsidRPr="00633E6D" w:rsidRDefault="005012B1" w:rsidP="0027018A">
            <w:pPr>
              <w:pStyle w:val="BodyText"/>
              <w:spacing w:before="120" w:after="120" w:line="276" w:lineRule="auto"/>
              <w:jc w:val="center"/>
            </w:pPr>
            <w:r>
              <w:t>201</w:t>
            </w:r>
            <w:r w:rsidR="0027018A">
              <w:t>7</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459032494"/>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3"/>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3283671A" w:rsidR="00F91E43" w:rsidRPr="00E57878" w:rsidRDefault="00F91E43" w:rsidP="0027018A">
      <w:pPr>
        <w:rPr>
          <w:sz w:val="22"/>
          <w:szCs w:val="22"/>
        </w:rPr>
      </w:pPr>
      <w:r w:rsidRPr="00E57878">
        <w:rPr>
          <w:sz w:val="22"/>
          <w:szCs w:val="22"/>
        </w:rPr>
        <w:t xml:space="preserve">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186DD59E" w14:textId="5449AA15" w:rsidR="00F91E43" w:rsidRPr="008A67B7" w:rsidRDefault="00F91E43" w:rsidP="008A67B7">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r w:rsidR="002B4D97" w:rsidRPr="008A67B7">
        <w:rPr>
          <w:b/>
          <w:bCs/>
          <w:i/>
          <w:iCs/>
        </w:rPr>
        <w:t>TES/</w:t>
      </w:r>
      <w:r w:rsidR="00B55785">
        <w:rPr>
          <w:b/>
          <w:bCs/>
          <w:i/>
          <w:iCs/>
        </w:rPr>
        <w:t>2021/G-005</w:t>
      </w:r>
      <w:r w:rsidR="002B4D97" w:rsidRPr="008A67B7">
        <w:rPr>
          <w:b/>
          <w:bCs/>
          <w:i/>
          <w:iCs/>
        </w:rPr>
        <w:t xml:space="preserve"> </w:t>
      </w:r>
      <w:r w:rsidR="00B55785">
        <w:rPr>
          <w:b/>
          <w:bCs/>
          <w:i/>
          <w:iCs/>
        </w:rPr>
        <w:t xml:space="preserve">- </w:t>
      </w:r>
      <w:r w:rsidR="00B55785" w:rsidRPr="00B55785">
        <w:rPr>
          <w:b/>
          <w:bCs/>
          <w:i/>
          <w:iCs/>
        </w:rPr>
        <w:t>Associated Total Offender Management System Software Creation</w:t>
      </w:r>
    </w:p>
    <w:p w14:paraId="48A8C8FE" w14:textId="495FB83A"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00E05ED1">
        <w:rPr>
          <w:sz w:val="22"/>
          <w:szCs w:val="22"/>
        </w:rPr>
        <w:t xml:space="preserve"> </w:t>
      </w:r>
      <w:r w:rsidR="00B55785" w:rsidRPr="00B55785">
        <w:rPr>
          <w:b/>
          <w:bCs/>
          <w:i/>
          <w:iCs/>
        </w:rPr>
        <w:t>Associated Total Offender Management System Software Creation</w:t>
      </w:r>
      <w:r w:rsidRPr="00E57878">
        <w:rPr>
          <w:sz w:val="22"/>
          <w:szCs w:val="22"/>
        </w:rPr>
        <w:t>,</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proofErr w:type="gramStart"/>
      <w:r w:rsidRPr="00E57878">
        <w:rPr>
          <w:sz w:val="22"/>
          <w:szCs w:val="22"/>
        </w:rPr>
        <w:t>.;</w:t>
      </w:r>
      <w:r w:rsidRPr="00E57878">
        <w:rPr>
          <w:i/>
          <w:color w:val="FF0000"/>
          <w:spacing w:val="8"/>
          <w:sz w:val="22"/>
          <w:szCs w:val="22"/>
        </w:rPr>
        <w:t>[</w:t>
      </w:r>
      <w:proofErr w:type="gramEnd"/>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6" w:name="_Toc234131430"/>
            <w:bookmarkStart w:id="427" w:name="_Toc488411755"/>
            <w:bookmarkStart w:id="428" w:name="_Toc438266926"/>
            <w:bookmarkStart w:id="429" w:name="_Toc438267900"/>
            <w:bookmarkStart w:id="430" w:name="_Toc438366668"/>
            <w:bookmarkStart w:id="431"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2" w:name="_Toc458817149"/>
            <w:r w:rsidRPr="008B66E1">
              <w:t>1.  List of Goods and Delivery Schedule</w:t>
            </w:r>
            <w:bookmarkEnd w:id="432"/>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3" w:name="_Toc234132717"/>
            <w:bookmarkStart w:id="434" w:name="_Toc458817150"/>
            <w:r w:rsidRPr="002351D0">
              <w:lastRenderedPageBreak/>
              <w:t>2.</w:t>
            </w:r>
            <w:r w:rsidRPr="002351D0">
              <w:tab/>
              <w:t>List of Related Services and Completion Schedule</w:t>
            </w:r>
            <w:bookmarkEnd w:id="433"/>
            <w:bookmarkEnd w:id="434"/>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5" w:name="_Toc459032499"/>
      <w:r>
        <w:lastRenderedPageBreak/>
        <w:t>Security (Tender Bond)</w:t>
      </w:r>
      <w:bookmarkEnd w:id="426"/>
      <w:bookmarkEnd w:id="435"/>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6" w:name="_Toc234131431"/>
      <w:bookmarkStart w:id="437" w:name="_Toc459032500"/>
      <w:r>
        <w:lastRenderedPageBreak/>
        <w:t>Tender-Securing Declaration</w:t>
      </w:r>
      <w:bookmarkEnd w:id="436"/>
      <w:bookmarkEnd w:id="437"/>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7"/>
    </w:p>
    <w:p w14:paraId="15379FCE" w14:textId="77777777" w:rsidR="00A758A1" w:rsidRDefault="00A758A1">
      <w:pPr>
        <w:rPr>
          <w:b/>
          <w:sz w:val="44"/>
        </w:rPr>
      </w:pPr>
      <w:bookmarkStart w:id="438" w:name="_Toc234130386"/>
      <w:r>
        <w:br w:type="page"/>
      </w:r>
    </w:p>
    <w:p w14:paraId="11FA510B" w14:textId="77777777" w:rsidR="00B02AD9" w:rsidRPr="00B95277" w:rsidRDefault="00B02AD9" w:rsidP="00B95277">
      <w:pPr>
        <w:pStyle w:val="Subtitle"/>
      </w:pPr>
      <w:bookmarkStart w:id="439" w:name="_Toc69299122"/>
      <w:r w:rsidRPr="00B95277">
        <w:lastRenderedPageBreak/>
        <w:t>Section V.  Eligible Countries</w:t>
      </w:r>
      <w:bookmarkEnd w:id="438"/>
      <w:bookmarkEnd w:id="439"/>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8"/>
    <w:bookmarkEnd w:id="429"/>
    <w:bookmarkEnd w:id="430"/>
    <w:bookmarkEnd w:id="431"/>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28771EF2" w:rsidR="00E213C6" w:rsidRDefault="00455149" w:rsidP="00E213C6">
      <w:pPr>
        <w:pStyle w:val="Heading1"/>
        <w:ind w:left="720" w:hanging="720"/>
        <w:rPr>
          <w:color w:val="000000" w:themeColor="text1"/>
        </w:rPr>
      </w:pPr>
      <w:bookmarkStart w:id="440" w:name="_Toc438529602"/>
      <w:bookmarkStart w:id="441" w:name="_Toc438725758"/>
      <w:bookmarkStart w:id="442" w:name="_Toc438817753"/>
      <w:bookmarkStart w:id="443" w:name="_Toc438954447"/>
      <w:bookmarkStart w:id="444" w:name="_Toc461939622"/>
      <w:bookmarkStart w:id="445" w:name="_Toc458816211"/>
      <w:bookmarkStart w:id="446" w:name="_Toc69299123"/>
      <w:bookmarkStart w:id="447" w:name="_GoBack"/>
      <w:r w:rsidRPr="00453CB9">
        <w:rPr>
          <w:color w:val="000000" w:themeColor="text1"/>
        </w:rPr>
        <w:t xml:space="preserve">PART </w:t>
      </w:r>
      <w:r w:rsidR="00FB29EF" w:rsidRPr="00453CB9">
        <w:rPr>
          <w:color w:val="000000" w:themeColor="text1"/>
        </w:rPr>
        <w:t>3</w:t>
      </w:r>
      <w:bookmarkEnd w:id="446"/>
      <w:r w:rsidRPr="00453CB9">
        <w:rPr>
          <w:color w:val="000000" w:themeColor="text1"/>
        </w:rPr>
        <w:t xml:space="preserve"> </w:t>
      </w:r>
      <w:bookmarkEnd w:id="440"/>
      <w:bookmarkEnd w:id="441"/>
      <w:bookmarkEnd w:id="442"/>
      <w:bookmarkEnd w:id="443"/>
      <w:bookmarkEnd w:id="444"/>
      <w:bookmarkEnd w:id="445"/>
      <w:r w:rsidR="00E213C6">
        <w:rPr>
          <w:color w:val="000000" w:themeColor="text1"/>
        </w:rPr>
        <w:t>– Employers Requirements (TOR)</w:t>
      </w:r>
    </w:p>
    <w:bookmarkEnd w:id="447"/>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3"/>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4"/>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5"/>
          <w:headerReference w:type="default" r:id="rId36"/>
          <w:headerReference w:type="first" r:id="rId37"/>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1C3C3DD1" w:rsidR="00071A87" w:rsidRPr="008B7B50" w:rsidRDefault="008A67B7" w:rsidP="00AB6459">
            <w:pPr>
              <w:tabs>
                <w:tab w:val="right" w:pos="7164"/>
              </w:tabs>
              <w:spacing w:after="200"/>
              <w:rPr>
                <w:sz w:val="22"/>
                <w:szCs w:val="22"/>
                <w:highlight w:val="yellow"/>
              </w:rPr>
            </w:pPr>
            <w:r>
              <w:rPr>
                <w:sz w:val="22"/>
                <w:szCs w:val="22"/>
              </w:rPr>
              <w:t>MNDF</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715BAB5" w:rsidR="00071A87" w:rsidRPr="00061BBD" w:rsidRDefault="008A67B7" w:rsidP="00005A64">
            <w:pPr>
              <w:tabs>
                <w:tab w:val="right" w:pos="7164"/>
              </w:tabs>
              <w:spacing w:line="276" w:lineRule="auto"/>
              <w:rPr>
                <w:sz w:val="22"/>
                <w:szCs w:val="22"/>
              </w:rPr>
            </w:pPr>
            <w:r>
              <w:rPr>
                <w:sz w:val="22"/>
                <w:szCs w:val="22"/>
              </w:rPr>
              <w:t>MNDF</w:t>
            </w: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156A478" w:rsidR="00624489" w:rsidRPr="00061BBD" w:rsidRDefault="003332D4" w:rsidP="00624489">
            <w:pPr>
              <w:tabs>
                <w:tab w:val="right" w:pos="7164"/>
              </w:tabs>
              <w:spacing w:line="276" w:lineRule="auto"/>
              <w:rPr>
                <w:sz w:val="22"/>
                <w:szCs w:val="22"/>
              </w:rPr>
            </w:pPr>
            <w:proofErr w:type="spellStart"/>
            <w:r w:rsidRPr="003332D4">
              <w:rPr>
                <w:sz w:val="22"/>
                <w:szCs w:val="22"/>
              </w:rPr>
              <w:t>Bandaara</w:t>
            </w:r>
            <w:proofErr w:type="spellEnd"/>
            <w:r w:rsidRPr="003332D4">
              <w:rPr>
                <w:sz w:val="22"/>
                <w:szCs w:val="22"/>
              </w:rPr>
              <w:t xml:space="preserve"> </w:t>
            </w:r>
            <w:proofErr w:type="spellStart"/>
            <w:r w:rsidRPr="003332D4">
              <w:rPr>
                <w:sz w:val="22"/>
                <w:szCs w:val="22"/>
              </w:rPr>
              <w:t>Koshi</w:t>
            </w:r>
            <w:proofErr w:type="spellEnd"/>
            <w:r w:rsidRPr="003332D4">
              <w:rPr>
                <w:sz w:val="22"/>
                <w:szCs w:val="22"/>
              </w:rPr>
              <w:t xml:space="preserve">. </w:t>
            </w:r>
            <w:proofErr w:type="spellStart"/>
            <w:r w:rsidRPr="003332D4">
              <w:rPr>
                <w:sz w:val="22"/>
                <w:szCs w:val="22"/>
              </w:rPr>
              <w:t>Ameeru'ahmed</w:t>
            </w:r>
            <w:proofErr w:type="spellEnd"/>
            <w:r w:rsidRPr="003332D4">
              <w:rPr>
                <w:sz w:val="22"/>
                <w:szCs w:val="22"/>
              </w:rPr>
              <w:t xml:space="preserve"> Magu, Male', Maldives</w:t>
            </w: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13D5BE7F" w:rsidR="00071A87" w:rsidRPr="00061BBD" w:rsidRDefault="00061BBD" w:rsidP="00624489">
            <w:pPr>
              <w:tabs>
                <w:tab w:val="right" w:pos="7164"/>
              </w:tabs>
              <w:spacing w:line="276" w:lineRule="auto"/>
              <w:rPr>
                <w:i/>
                <w:iCs/>
                <w:sz w:val="22"/>
                <w:szCs w:val="22"/>
              </w:rPr>
            </w:pPr>
            <w:r w:rsidRPr="00061BBD">
              <w:rPr>
                <w:i/>
                <w:iCs/>
                <w:sz w:val="22"/>
                <w:szCs w:val="22"/>
              </w:rPr>
              <w:t>+960</w:t>
            </w:r>
            <w:r w:rsidR="008F356F">
              <w:rPr>
                <w:i/>
                <w:iCs/>
                <w:sz w:val="22"/>
                <w:szCs w:val="22"/>
              </w:rPr>
              <w:t xml:space="preserve"> </w:t>
            </w:r>
            <w:r w:rsidR="003332D4" w:rsidRPr="003332D4">
              <w:rPr>
                <w:i/>
                <w:iCs/>
                <w:sz w:val="22"/>
                <w:szCs w:val="22"/>
              </w:rPr>
              <w:t>332 2607</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E213C6">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E213C6">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1"/>
      <w:headerReference w:type="first" r:id="rId42"/>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E213C6" w:rsidRDefault="00E213C6">
      <w:r>
        <w:separator/>
      </w:r>
    </w:p>
  </w:endnote>
  <w:endnote w:type="continuationSeparator" w:id="0">
    <w:p w14:paraId="569C38E2" w14:textId="77777777" w:rsidR="00E213C6" w:rsidRDefault="00E2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E213C6" w:rsidRDefault="00E213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E213C6" w:rsidRDefault="00E21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E213C6" w:rsidRDefault="00E213C6">
      <w:r>
        <w:separator/>
      </w:r>
    </w:p>
  </w:footnote>
  <w:footnote w:type="continuationSeparator" w:id="0">
    <w:p w14:paraId="36880028" w14:textId="77777777" w:rsidR="00E213C6" w:rsidRDefault="00E213C6">
      <w:r>
        <w:continuationSeparator/>
      </w:r>
    </w:p>
  </w:footnote>
  <w:footnote w:id="1">
    <w:p w14:paraId="47B2306C" w14:textId="77777777" w:rsidR="00E213C6" w:rsidRPr="0049153D" w:rsidRDefault="00E213C6"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E213C6" w:rsidRDefault="00E213C6"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E213C6" w:rsidRDefault="00E213C6"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E213C6" w:rsidRDefault="00E213C6"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E213C6" w:rsidRPr="00BC09A2" w:rsidRDefault="00E213C6"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E213C6" w:rsidRPr="00BC09A2" w:rsidRDefault="00E213C6"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E213C6" w:rsidRDefault="00E213C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E213C6" w:rsidRDefault="00E213C6" w:rsidP="001D25F8">
    <w:pPr>
      <w:pStyle w:val="Header"/>
      <w:ind w:right="54" w:firstLine="360"/>
      <w:jc w:val="right"/>
    </w:pPr>
    <w:r>
      <w:t>Section I. Instructions to Tenderers</w:t>
    </w:r>
  </w:p>
  <w:p w14:paraId="7C157FC6" w14:textId="77777777" w:rsidR="00E213C6" w:rsidRDefault="00E213C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E213C6" w:rsidRDefault="00E213C6">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E213C6" w:rsidRDefault="00E213C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E213C6" w:rsidRPr="008576AF" w:rsidRDefault="00E213C6"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E213C6" w:rsidRDefault="00E213C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E213C6" w:rsidRDefault="00E213C6"/>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E213C6" w:rsidRDefault="00E213C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E213C6" w:rsidRDefault="00E213C6">
    <w:pPr>
      <w:pStyle w:val="Header"/>
      <w:ind w:right="-36"/>
    </w:pPr>
    <w:r>
      <w:t>Section III. Evaluation and Qualification Criteria</w:t>
    </w:r>
  </w:p>
  <w:p w14:paraId="4039E664" w14:textId="77777777" w:rsidR="00E213C6" w:rsidRDefault="00E213C6"/>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E213C6" w:rsidRDefault="00E213C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E213C6" w:rsidRDefault="00E213C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E213C6" w:rsidRDefault="00E213C6"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E213C6" w:rsidRDefault="00E213C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E213C6" w:rsidRDefault="00E213C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E213C6" w:rsidRDefault="00E213C6"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E213C6" w:rsidRDefault="00E213C6"/>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E213C6" w:rsidRDefault="00E213C6"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E213C6" w:rsidRDefault="00E213C6"/>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E213C6" w:rsidRDefault="00E213C6"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E213C6" w:rsidRDefault="00E213C6"/>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E213C6" w:rsidRDefault="00E213C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E213C6" w:rsidRDefault="00E213C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E213C6" w:rsidRDefault="00E213C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E213C6" w:rsidRDefault="00E213C6">
    <w:pPr>
      <w:pStyle w:val="Header"/>
      <w:ind w:right="-36"/>
    </w:pPr>
    <w:r>
      <w:t>Section I. Instructions to Bidders</w:t>
    </w:r>
  </w:p>
  <w:p w14:paraId="15FE98DF" w14:textId="77777777" w:rsidR="00E213C6" w:rsidRDefault="00E213C6"/>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E213C6" w:rsidRDefault="00E213C6">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E213C6" w:rsidRDefault="00E213C6"/>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E213C6" w:rsidRDefault="00E213C6">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E213C6" w:rsidRDefault="00E213C6"/>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E213C6" w:rsidRDefault="00E213C6">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E213C6" w:rsidRDefault="00E213C6"/>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E213C6" w:rsidRDefault="00E213C6">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E213C6" w:rsidRDefault="00E213C6"/>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E213C6" w:rsidRDefault="00E213C6">
    <w:pPr>
      <w:pStyle w:val="Header"/>
      <w:framePr w:wrap="around" w:vAnchor="text" w:hAnchor="page" w:x="1297" w:y="-2"/>
      <w:rPr>
        <w:rStyle w:val="PageNumber"/>
        <w:sz w:val="24"/>
      </w:rPr>
    </w:pPr>
  </w:p>
  <w:p w14:paraId="03F11D33" w14:textId="72D380DD" w:rsidR="00E213C6" w:rsidRDefault="00E213C6">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E213C6" w:rsidRDefault="00E213C6"/>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E213C6" w:rsidRDefault="00E213C6">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E213C6" w:rsidRDefault="00E213C6"/>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E213C6" w:rsidRDefault="00E213C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E213C6" w:rsidRDefault="00E213C6"/>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E213C6" w:rsidRDefault="00E213C6"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E213C6" w:rsidRDefault="00E213C6"/>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E213C6" w:rsidRDefault="00E213C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E213C6" w:rsidRDefault="00E213C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E213C6" w:rsidRDefault="00E213C6"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E213C6" w:rsidRDefault="00E213C6">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E213C6" w:rsidRDefault="00E213C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E213C6" w:rsidRDefault="00E213C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E213C6" w:rsidRDefault="00E213C6" w:rsidP="00B95277">
    <w:pPr>
      <w:pStyle w:val="Header"/>
      <w:ind w:right="54" w:firstLine="360"/>
      <w:jc w:val="right"/>
    </w:pPr>
    <w:r>
      <w:t>Section I Instructions to Tenderers</w:t>
    </w:r>
  </w:p>
  <w:p w14:paraId="0088454A" w14:textId="77777777" w:rsidR="00E213C6" w:rsidRDefault="00E213C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E213C6" w:rsidRDefault="00E213C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E213C6" w:rsidRDefault="00E213C6" w:rsidP="00B95277">
    <w:pPr>
      <w:pStyle w:val="Header"/>
      <w:ind w:right="-36"/>
    </w:pPr>
    <w:r>
      <w:t>Section I Instructions to Tenderers</w:t>
    </w:r>
  </w:p>
  <w:p w14:paraId="39C64DF8" w14:textId="77777777" w:rsidR="00E213C6" w:rsidRDefault="00E213C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E213C6" w:rsidRDefault="00E213C6">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E213C6" w:rsidRDefault="00E213C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E213C6" w:rsidRDefault="00E213C6"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E213C6" w:rsidRDefault="00E213C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E213C6" w:rsidRDefault="00E213C6">
    <w:pPr>
      <w:pStyle w:val="Header"/>
      <w:ind w:right="-36"/>
    </w:pPr>
    <w:r>
      <w:t>Section II Bid Data Sheet</w:t>
    </w:r>
  </w:p>
  <w:p w14:paraId="12C27E39" w14:textId="77777777" w:rsidR="00E213C6" w:rsidRDefault="00E213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hmed.ikram@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76582-F9E9-4584-B92A-6AF4331D0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82</Pages>
  <Words>20335</Words>
  <Characters>115911</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135975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63</cp:revision>
  <cp:lastPrinted>2019-09-15T07:51:00Z</cp:lastPrinted>
  <dcterms:created xsi:type="dcterms:W3CDTF">2018-04-25T03:27:00Z</dcterms:created>
  <dcterms:modified xsi:type="dcterms:W3CDTF">2021-04-14T08:40:00Z</dcterms:modified>
</cp:coreProperties>
</file>