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59612D" w14:textId="3FE0C31D" w:rsidR="00397759" w:rsidRPr="00F276C2" w:rsidRDefault="0001518E" w:rsidP="0001518E">
      <w:pPr>
        <w:spacing w:before="120" w:after="120"/>
        <w:rPr>
          <w:rFonts w:ascii="Arial" w:hAnsi="Arial" w:cs="Arial"/>
          <w:b/>
          <w:bCs/>
          <w:sz w:val="24"/>
          <w:szCs w:val="24"/>
        </w:rPr>
      </w:pPr>
      <w:proofErr w:type="spellStart"/>
      <w:r w:rsidRPr="00F276C2">
        <w:rPr>
          <w:rFonts w:ascii="Arial" w:hAnsi="Arial" w:cs="Arial"/>
          <w:b/>
          <w:bCs/>
          <w:sz w:val="24"/>
          <w:szCs w:val="24"/>
        </w:rPr>
        <w:t>Annexe</w:t>
      </w:r>
      <w:proofErr w:type="spellEnd"/>
      <w:r w:rsidRPr="00F276C2">
        <w:rPr>
          <w:rFonts w:ascii="Arial" w:hAnsi="Arial" w:cs="Arial"/>
          <w:b/>
          <w:bCs/>
          <w:sz w:val="24"/>
          <w:szCs w:val="24"/>
        </w:rPr>
        <w:t xml:space="preserve"> </w:t>
      </w:r>
      <w:bookmarkStart w:id="0" w:name="_GoBack"/>
      <w:bookmarkEnd w:id="0"/>
      <w:r w:rsidR="00F276C2" w:rsidRPr="00F276C2">
        <w:rPr>
          <w:rFonts w:ascii="Arial" w:hAnsi="Arial" w:cs="Arial"/>
          <w:b/>
          <w:bCs/>
          <w:sz w:val="24"/>
          <w:szCs w:val="24"/>
        </w:rPr>
        <w:t>2:</w:t>
      </w:r>
      <w:r w:rsidRPr="00F276C2">
        <w:rPr>
          <w:rFonts w:ascii="Arial" w:hAnsi="Arial" w:cs="Arial"/>
          <w:b/>
          <w:bCs/>
          <w:sz w:val="24"/>
          <w:szCs w:val="24"/>
        </w:rPr>
        <w:t xml:space="preserve"> </w:t>
      </w:r>
      <w:r w:rsidR="00475490" w:rsidRPr="00F276C2">
        <w:rPr>
          <w:rFonts w:ascii="Arial" w:hAnsi="Arial" w:cs="Arial"/>
          <w:b/>
          <w:bCs/>
          <w:sz w:val="24"/>
          <w:szCs w:val="24"/>
        </w:rPr>
        <w:t xml:space="preserve">Unofficial translation </w:t>
      </w:r>
      <w:r w:rsidR="007400CF" w:rsidRPr="00F276C2">
        <w:rPr>
          <w:rFonts w:ascii="Arial" w:hAnsi="Arial" w:cs="Arial"/>
          <w:b/>
          <w:bCs/>
          <w:sz w:val="24"/>
          <w:szCs w:val="24"/>
        </w:rPr>
        <w:t>- use</w:t>
      </w:r>
      <w:r w:rsidR="00D169F4" w:rsidRPr="00F276C2">
        <w:rPr>
          <w:rFonts w:ascii="Arial" w:hAnsi="Arial" w:cs="Arial"/>
          <w:b/>
          <w:bCs/>
          <w:sz w:val="24"/>
          <w:szCs w:val="24"/>
        </w:rPr>
        <w:t xml:space="preserve"> as a reference only </w:t>
      </w:r>
    </w:p>
    <w:p w14:paraId="7299BE66" w14:textId="77777777" w:rsidR="00397759" w:rsidRPr="0001518E" w:rsidRDefault="00397759" w:rsidP="0001518E">
      <w:pPr>
        <w:spacing w:before="120" w:after="120"/>
        <w:rPr>
          <w:rFonts w:ascii="Arial" w:hAnsi="Arial" w:cs="Arial"/>
          <w:sz w:val="24"/>
          <w:szCs w:val="24"/>
        </w:rPr>
      </w:pPr>
    </w:p>
    <w:p w14:paraId="53B90941" w14:textId="6CAFEAE1" w:rsidR="00397759" w:rsidRPr="0001518E" w:rsidRDefault="00475490" w:rsidP="0001518E">
      <w:pPr>
        <w:spacing w:before="120" w:after="120"/>
        <w:jc w:val="right"/>
        <w:rPr>
          <w:rFonts w:ascii="Arial" w:hAnsi="Arial" w:cs="Arial"/>
          <w:sz w:val="24"/>
          <w:szCs w:val="24"/>
        </w:rPr>
      </w:pPr>
      <w:r w:rsidRPr="0001518E">
        <w:rPr>
          <w:rFonts w:ascii="Arial" w:hAnsi="Arial" w:cs="Arial"/>
          <w:sz w:val="24"/>
          <w:szCs w:val="24"/>
        </w:rPr>
        <w:t>Number:</w:t>
      </w:r>
      <w:r w:rsidR="00397759" w:rsidRPr="0001518E">
        <w:rPr>
          <w:rFonts w:ascii="Arial" w:hAnsi="Arial" w:cs="Arial"/>
          <w:sz w:val="24"/>
          <w:szCs w:val="24"/>
        </w:rPr>
        <w:t xml:space="preserve"> 2015/R-229</w:t>
      </w:r>
    </w:p>
    <w:p w14:paraId="33D2A7A9" w14:textId="6FD321BB" w:rsidR="00475490" w:rsidRPr="0001518E" w:rsidRDefault="00475490" w:rsidP="0001518E">
      <w:pPr>
        <w:spacing w:before="120" w:after="120"/>
        <w:jc w:val="right"/>
        <w:rPr>
          <w:rFonts w:ascii="Arial" w:hAnsi="Arial" w:cs="Arial"/>
          <w:sz w:val="24"/>
          <w:szCs w:val="24"/>
        </w:rPr>
      </w:pPr>
      <w:r w:rsidRPr="0001518E">
        <w:rPr>
          <w:rFonts w:ascii="Arial" w:hAnsi="Arial" w:cs="Arial"/>
          <w:sz w:val="24"/>
          <w:szCs w:val="24"/>
        </w:rPr>
        <w:t>Date: 28 December 2015</w:t>
      </w:r>
    </w:p>
    <w:p w14:paraId="09DDC0B2" w14:textId="737700E0" w:rsidR="00475490" w:rsidRPr="0001518E" w:rsidRDefault="00475490" w:rsidP="0001518E">
      <w:pPr>
        <w:spacing w:before="120" w:after="120"/>
        <w:rPr>
          <w:rFonts w:ascii="Arial" w:hAnsi="Arial" w:cs="Arial"/>
          <w:sz w:val="24"/>
          <w:szCs w:val="24"/>
        </w:rPr>
      </w:pPr>
      <w:r w:rsidRPr="0001518E">
        <w:rPr>
          <w:rFonts w:ascii="Arial" w:hAnsi="Arial" w:cs="Arial"/>
          <w:sz w:val="24"/>
          <w:szCs w:val="24"/>
        </w:rPr>
        <w:t>Transport Authority</w:t>
      </w:r>
    </w:p>
    <w:p w14:paraId="37698EE1" w14:textId="472C1B1E" w:rsidR="00475490" w:rsidRPr="0001518E" w:rsidRDefault="00475490" w:rsidP="0001518E">
      <w:pPr>
        <w:spacing w:before="120" w:after="120"/>
        <w:rPr>
          <w:rFonts w:ascii="Arial" w:hAnsi="Arial" w:cs="Arial"/>
          <w:sz w:val="24"/>
          <w:szCs w:val="24"/>
        </w:rPr>
      </w:pPr>
      <w:r w:rsidRPr="0001518E">
        <w:rPr>
          <w:rFonts w:ascii="Arial" w:hAnsi="Arial" w:cs="Arial"/>
          <w:sz w:val="24"/>
          <w:szCs w:val="24"/>
        </w:rPr>
        <w:t>Male’, Maldives</w:t>
      </w:r>
    </w:p>
    <w:p w14:paraId="1BE2E224" w14:textId="11C1F607" w:rsidR="00475490" w:rsidRPr="0001518E" w:rsidRDefault="00475490" w:rsidP="0001518E">
      <w:pPr>
        <w:spacing w:before="120" w:after="120"/>
        <w:jc w:val="center"/>
        <w:rPr>
          <w:rFonts w:ascii="Arial" w:hAnsi="Arial" w:cs="Arial"/>
          <w:b/>
          <w:bCs/>
          <w:sz w:val="24"/>
          <w:szCs w:val="24"/>
        </w:rPr>
      </w:pPr>
      <w:r w:rsidRPr="0001518E">
        <w:rPr>
          <w:rFonts w:ascii="Arial" w:hAnsi="Arial" w:cs="Arial"/>
          <w:b/>
          <w:bCs/>
          <w:sz w:val="24"/>
          <w:szCs w:val="24"/>
        </w:rPr>
        <w:t>Maritime safety rule for vessels operating in the Maldives</w:t>
      </w:r>
    </w:p>
    <w:p w14:paraId="02192C76" w14:textId="1ACB6730" w:rsidR="00475490" w:rsidRPr="0001518E" w:rsidRDefault="00475490" w:rsidP="0001518E">
      <w:pPr>
        <w:spacing w:before="120" w:after="120"/>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4"/>
        <w:gridCol w:w="483"/>
        <w:gridCol w:w="7353"/>
      </w:tblGrid>
      <w:tr w:rsidR="00D8718B" w:rsidRPr="0001518E" w14:paraId="2FD49CEE" w14:textId="77777777" w:rsidTr="007400CF">
        <w:tc>
          <w:tcPr>
            <w:tcW w:w="1525" w:type="dxa"/>
          </w:tcPr>
          <w:p w14:paraId="3F0ACAE1" w14:textId="60092AE3" w:rsidR="00D8718B" w:rsidRPr="0001518E" w:rsidRDefault="00D8718B" w:rsidP="0001518E">
            <w:pPr>
              <w:spacing w:before="120" w:after="120"/>
              <w:rPr>
                <w:rFonts w:ascii="Arial" w:hAnsi="Arial" w:cs="Arial"/>
                <w:sz w:val="18"/>
                <w:szCs w:val="18"/>
              </w:rPr>
            </w:pPr>
            <w:r w:rsidRPr="0001518E">
              <w:rPr>
                <w:rFonts w:ascii="Arial" w:hAnsi="Arial" w:cs="Arial"/>
                <w:sz w:val="18"/>
                <w:szCs w:val="18"/>
              </w:rPr>
              <w:t xml:space="preserve">Safety certificates issued </w:t>
            </w:r>
          </w:p>
        </w:tc>
        <w:tc>
          <w:tcPr>
            <w:tcW w:w="450" w:type="dxa"/>
          </w:tcPr>
          <w:p w14:paraId="1C15E3EB" w14:textId="5ABF423F" w:rsidR="00D8718B" w:rsidRPr="0001518E" w:rsidRDefault="00D8718B" w:rsidP="0001518E">
            <w:pPr>
              <w:spacing w:before="120" w:after="120"/>
              <w:rPr>
                <w:rFonts w:ascii="Arial" w:hAnsi="Arial" w:cs="Arial"/>
                <w:sz w:val="24"/>
                <w:szCs w:val="24"/>
              </w:rPr>
            </w:pPr>
            <w:r w:rsidRPr="0001518E">
              <w:rPr>
                <w:rFonts w:ascii="Arial" w:hAnsi="Arial" w:cs="Arial"/>
                <w:sz w:val="24"/>
                <w:szCs w:val="24"/>
              </w:rPr>
              <w:t>9</w:t>
            </w:r>
          </w:p>
        </w:tc>
        <w:tc>
          <w:tcPr>
            <w:tcW w:w="7375" w:type="dxa"/>
          </w:tcPr>
          <w:p w14:paraId="0DD6E89A" w14:textId="77777777" w:rsidR="00D8718B" w:rsidRPr="0001518E" w:rsidRDefault="00D8718B" w:rsidP="0001518E">
            <w:pPr>
              <w:spacing w:before="120" w:after="120"/>
              <w:rPr>
                <w:rFonts w:ascii="Arial" w:hAnsi="Arial" w:cs="Arial"/>
                <w:sz w:val="24"/>
                <w:szCs w:val="24"/>
              </w:rPr>
            </w:pPr>
            <w:r w:rsidRPr="0001518E">
              <w:rPr>
                <w:rFonts w:ascii="Arial" w:hAnsi="Arial" w:cs="Arial"/>
                <w:sz w:val="24"/>
                <w:szCs w:val="24"/>
              </w:rPr>
              <w:t xml:space="preserve">Below </w:t>
            </w:r>
            <w:r w:rsidR="00334FBA" w:rsidRPr="0001518E">
              <w:rPr>
                <w:rFonts w:ascii="Arial" w:hAnsi="Arial" w:cs="Arial"/>
                <w:sz w:val="24"/>
                <w:szCs w:val="24"/>
              </w:rPr>
              <w:t>are the safety certificates that will be issued under this rule.</w:t>
            </w:r>
          </w:p>
          <w:p w14:paraId="69930589" w14:textId="77C0643F"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Certificate of seaworthiness</w:t>
            </w:r>
          </w:p>
          <w:p w14:paraId="2687A348" w14:textId="56738ABF"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 xml:space="preserve">Load line certificate </w:t>
            </w:r>
          </w:p>
          <w:p w14:paraId="4EB69AB6" w14:textId="77777777"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 xml:space="preserve">Passenger carry certificate </w:t>
            </w:r>
          </w:p>
          <w:p w14:paraId="3FC23C10" w14:textId="77777777"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 xml:space="preserve">Oil pollution and prevention certificate </w:t>
            </w:r>
          </w:p>
          <w:p w14:paraId="1246FB24" w14:textId="77777777"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 xml:space="preserve">Dangerous and highly flammable cargo carrying certificate </w:t>
            </w:r>
          </w:p>
          <w:p w14:paraId="0ED58178" w14:textId="3788119A" w:rsidR="00334FBA" w:rsidRPr="0001518E" w:rsidRDefault="00334FBA" w:rsidP="0001518E">
            <w:pPr>
              <w:pStyle w:val="ListParagraph"/>
              <w:numPr>
                <w:ilvl w:val="0"/>
                <w:numId w:val="1"/>
              </w:numPr>
              <w:spacing w:before="120" w:after="120"/>
              <w:rPr>
                <w:rFonts w:ascii="Arial" w:hAnsi="Arial" w:cs="Arial"/>
                <w:sz w:val="24"/>
                <w:szCs w:val="24"/>
              </w:rPr>
            </w:pPr>
            <w:r w:rsidRPr="0001518E">
              <w:rPr>
                <w:rFonts w:ascii="Arial" w:hAnsi="Arial" w:cs="Arial"/>
                <w:sz w:val="24"/>
                <w:szCs w:val="24"/>
              </w:rPr>
              <w:t xml:space="preserve">Sewage certificate </w:t>
            </w:r>
          </w:p>
        </w:tc>
      </w:tr>
      <w:tr w:rsidR="00475490" w:rsidRPr="0001518E" w14:paraId="796F1BAE" w14:textId="77777777" w:rsidTr="007400CF">
        <w:tc>
          <w:tcPr>
            <w:tcW w:w="1525" w:type="dxa"/>
          </w:tcPr>
          <w:p w14:paraId="58ABCB2B" w14:textId="2E233122" w:rsidR="00475490" w:rsidRPr="0001518E" w:rsidRDefault="00D60940" w:rsidP="0001518E">
            <w:pPr>
              <w:spacing w:before="120" w:after="120"/>
              <w:rPr>
                <w:rFonts w:ascii="Arial" w:hAnsi="Arial" w:cs="Arial"/>
                <w:sz w:val="18"/>
                <w:szCs w:val="18"/>
              </w:rPr>
            </w:pPr>
            <w:r w:rsidRPr="0001518E">
              <w:rPr>
                <w:rFonts w:ascii="Arial" w:hAnsi="Arial" w:cs="Arial"/>
                <w:sz w:val="18"/>
                <w:szCs w:val="18"/>
              </w:rPr>
              <w:t>Certificate of seaworthiness</w:t>
            </w:r>
          </w:p>
        </w:tc>
        <w:tc>
          <w:tcPr>
            <w:tcW w:w="450" w:type="dxa"/>
          </w:tcPr>
          <w:p w14:paraId="519E1134" w14:textId="3629C67F" w:rsidR="00475490" w:rsidRPr="0001518E" w:rsidRDefault="00D60940" w:rsidP="0001518E">
            <w:pPr>
              <w:spacing w:before="120" w:after="120"/>
              <w:rPr>
                <w:rFonts w:ascii="Arial" w:hAnsi="Arial" w:cs="Arial"/>
                <w:sz w:val="24"/>
                <w:szCs w:val="24"/>
              </w:rPr>
            </w:pPr>
            <w:r w:rsidRPr="0001518E">
              <w:rPr>
                <w:rFonts w:ascii="Arial" w:hAnsi="Arial" w:cs="Arial"/>
                <w:sz w:val="24"/>
                <w:szCs w:val="24"/>
              </w:rPr>
              <w:t>10</w:t>
            </w:r>
          </w:p>
        </w:tc>
        <w:tc>
          <w:tcPr>
            <w:tcW w:w="7375" w:type="dxa"/>
          </w:tcPr>
          <w:p w14:paraId="6A9C9543" w14:textId="77777777" w:rsidR="00475490" w:rsidRPr="0001518E" w:rsidRDefault="00D60940" w:rsidP="0001518E">
            <w:pPr>
              <w:spacing w:before="120" w:after="120"/>
              <w:rPr>
                <w:rFonts w:ascii="Arial" w:hAnsi="Arial" w:cs="Arial"/>
                <w:sz w:val="24"/>
                <w:szCs w:val="24"/>
              </w:rPr>
            </w:pPr>
            <w:r w:rsidRPr="0001518E">
              <w:rPr>
                <w:rFonts w:ascii="Arial" w:hAnsi="Arial" w:cs="Arial"/>
                <w:sz w:val="24"/>
                <w:szCs w:val="24"/>
              </w:rPr>
              <w:t>a. Any vessel operating in Maldives, should operate with a valid seaworthiness certificate.</w:t>
            </w:r>
          </w:p>
          <w:p w14:paraId="19BB25D4" w14:textId="0EDC66FD" w:rsidR="00D60940" w:rsidRPr="0001518E" w:rsidRDefault="00D60940" w:rsidP="0001518E">
            <w:pPr>
              <w:spacing w:before="120" w:after="120"/>
              <w:rPr>
                <w:rFonts w:ascii="Arial" w:hAnsi="Arial" w:cs="Arial"/>
                <w:sz w:val="24"/>
                <w:szCs w:val="24"/>
              </w:rPr>
            </w:pPr>
            <w:r w:rsidRPr="0001518E">
              <w:rPr>
                <w:rFonts w:ascii="Arial" w:hAnsi="Arial" w:cs="Arial"/>
                <w:sz w:val="24"/>
                <w:szCs w:val="24"/>
              </w:rPr>
              <w:t xml:space="preserve">b. </w:t>
            </w:r>
            <w:r w:rsidR="00EC6353" w:rsidRPr="0001518E">
              <w:rPr>
                <w:rFonts w:ascii="Arial" w:hAnsi="Arial" w:cs="Arial"/>
                <w:sz w:val="24"/>
                <w:szCs w:val="24"/>
              </w:rPr>
              <w:t xml:space="preserve">criteria’s that will be inspected for issuing seaworthiness certificate is detailed in Annex 2 of this rule. Those criteria include: </w:t>
            </w:r>
          </w:p>
          <w:p w14:paraId="33A85D8C"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Hull condition </w:t>
            </w:r>
          </w:p>
          <w:p w14:paraId="32274BA4"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Engine and generator set condition </w:t>
            </w:r>
          </w:p>
          <w:p w14:paraId="553F4FB9"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Deck condition</w:t>
            </w:r>
          </w:p>
          <w:p w14:paraId="288AEA70"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Water / seawater inlet and outlet condition</w:t>
            </w:r>
          </w:p>
          <w:p w14:paraId="414F8CE8"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Air pipes and sounding pipe condition </w:t>
            </w:r>
          </w:p>
          <w:p w14:paraId="11F9BDC6"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Condition of frames and stringers</w:t>
            </w:r>
          </w:p>
          <w:p w14:paraId="2CFD18A6"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Condition of holds </w:t>
            </w:r>
          </w:p>
          <w:p w14:paraId="78F6A14A"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Condition of safety appliances used in the vessel </w:t>
            </w:r>
          </w:p>
          <w:p w14:paraId="68139C0B" w14:textId="0113ECA4"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Condition of Vessel’s navigation systems </w:t>
            </w:r>
          </w:p>
          <w:p w14:paraId="1A430FAB"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Condition Vessel’s communication system</w:t>
            </w:r>
          </w:p>
          <w:p w14:paraId="69C9873C" w14:textId="77777777"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Safety measures necessary for the vessel </w:t>
            </w:r>
          </w:p>
          <w:p w14:paraId="4743F4F6" w14:textId="64A2DC01" w:rsidR="00EC6353" w:rsidRPr="0001518E" w:rsidRDefault="00EC6353" w:rsidP="0001518E">
            <w:pPr>
              <w:pStyle w:val="ListParagraph"/>
              <w:numPr>
                <w:ilvl w:val="0"/>
                <w:numId w:val="3"/>
              </w:numPr>
              <w:spacing w:before="120" w:after="120"/>
              <w:rPr>
                <w:rFonts w:ascii="Arial" w:hAnsi="Arial" w:cs="Arial"/>
                <w:sz w:val="24"/>
                <w:szCs w:val="24"/>
              </w:rPr>
            </w:pPr>
            <w:r w:rsidRPr="0001518E">
              <w:rPr>
                <w:rFonts w:ascii="Arial" w:hAnsi="Arial" w:cs="Arial"/>
                <w:sz w:val="24"/>
                <w:szCs w:val="24"/>
              </w:rPr>
              <w:t xml:space="preserve">Transport Authority approve insurance policy for the vessel should be in place. </w:t>
            </w:r>
          </w:p>
          <w:p w14:paraId="3806D6E7" w14:textId="3DA03CA9" w:rsidR="00EC6353" w:rsidRPr="0001518E" w:rsidRDefault="00EC6353" w:rsidP="0001518E">
            <w:pPr>
              <w:spacing w:before="120" w:after="120"/>
              <w:ind w:left="360"/>
              <w:rPr>
                <w:rFonts w:ascii="Arial" w:hAnsi="Arial" w:cs="Arial"/>
                <w:sz w:val="24"/>
                <w:szCs w:val="24"/>
              </w:rPr>
            </w:pPr>
          </w:p>
        </w:tc>
      </w:tr>
      <w:tr w:rsidR="00475490" w:rsidRPr="0001518E" w14:paraId="25E84F74" w14:textId="77777777" w:rsidTr="007400CF">
        <w:tc>
          <w:tcPr>
            <w:tcW w:w="1525" w:type="dxa"/>
          </w:tcPr>
          <w:p w14:paraId="3685D228" w14:textId="6F7479ED" w:rsidR="00475490" w:rsidRPr="0001518E" w:rsidRDefault="00EC6353" w:rsidP="0001518E">
            <w:pPr>
              <w:spacing w:before="120" w:after="120"/>
              <w:rPr>
                <w:rFonts w:ascii="Arial" w:hAnsi="Arial" w:cs="Arial"/>
                <w:sz w:val="18"/>
                <w:szCs w:val="18"/>
              </w:rPr>
            </w:pPr>
            <w:r w:rsidRPr="0001518E">
              <w:rPr>
                <w:rFonts w:ascii="Arial" w:hAnsi="Arial" w:cs="Arial"/>
                <w:sz w:val="18"/>
                <w:szCs w:val="18"/>
              </w:rPr>
              <w:t xml:space="preserve">Load line certificate </w:t>
            </w:r>
          </w:p>
        </w:tc>
        <w:tc>
          <w:tcPr>
            <w:tcW w:w="450" w:type="dxa"/>
          </w:tcPr>
          <w:p w14:paraId="46DC0A65" w14:textId="7623D033" w:rsidR="00475490" w:rsidRPr="0001518E" w:rsidRDefault="00EC6353" w:rsidP="0001518E">
            <w:pPr>
              <w:spacing w:before="120" w:after="120"/>
              <w:rPr>
                <w:rFonts w:ascii="Arial" w:hAnsi="Arial" w:cs="Arial"/>
                <w:sz w:val="24"/>
                <w:szCs w:val="24"/>
              </w:rPr>
            </w:pPr>
            <w:r w:rsidRPr="0001518E">
              <w:rPr>
                <w:rFonts w:ascii="Arial" w:hAnsi="Arial" w:cs="Arial"/>
                <w:sz w:val="24"/>
                <w:szCs w:val="24"/>
              </w:rPr>
              <w:t>11</w:t>
            </w:r>
          </w:p>
        </w:tc>
        <w:tc>
          <w:tcPr>
            <w:tcW w:w="7375" w:type="dxa"/>
          </w:tcPr>
          <w:p w14:paraId="559DF4E8" w14:textId="77777777" w:rsidR="00475490" w:rsidRPr="0001518E" w:rsidRDefault="00987469" w:rsidP="0001518E">
            <w:pPr>
              <w:pStyle w:val="ListParagraph"/>
              <w:numPr>
                <w:ilvl w:val="0"/>
                <w:numId w:val="4"/>
              </w:numPr>
              <w:spacing w:before="120" w:after="120"/>
              <w:ind w:left="331"/>
              <w:rPr>
                <w:rFonts w:ascii="Arial" w:hAnsi="Arial" w:cs="Arial"/>
                <w:sz w:val="24"/>
                <w:szCs w:val="24"/>
              </w:rPr>
            </w:pPr>
            <w:r w:rsidRPr="0001518E">
              <w:rPr>
                <w:rFonts w:ascii="Arial" w:hAnsi="Arial" w:cs="Arial"/>
                <w:sz w:val="24"/>
                <w:szCs w:val="24"/>
              </w:rPr>
              <w:t xml:space="preserve">Any cargo carrying vessel operating in Maldives should have a valid load line certificate during its voyage or while at anchorage. </w:t>
            </w:r>
          </w:p>
          <w:p w14:paraId="02879192" w14:textId="7B0401F2" w:rsidR="00987469" w:rsidRPr="0001518E" w:rsidRDefault="00987469" w:rsidP="0001518E">
            <w:pPr>
              <w:pStyle w:val="ListParagraph"/>
              <w:numPr>
                <w:ilvl w:val="0"/>
                <w:numId w:val="4"/>
              </w:numPr>
              <w:spacing w:before="120" w:after="120"/>
              <w:ind w:left="331"/>
              <w:rPr>
                <w:rFonts w:ascii="Arial" w:hAnsi="Arial" w:cs="Arial"/>
                <w:sz w:val="24"/>
                <w:szCs w:val="24"/>
              </w:rPr>
            </w:pPr>
            <w:r w:rsidRPr="0001518E">
              <w:rPr>
                <w:rFonts w:ascii="Arial" w:hAnsi="Arial" w:cs="Arial"/>
                <w:sz w:val="24"/>
                <w:szCs w:val="24"/>
              </w:rPr>
              <w:t xml:space="preserve">Load line certificate will be issued to the vessel after verifying </w:t>
            </w:r>
            <w:r w:rsidR="00FE3A57" w:rsidRPr="0001518E">
              <w:rPr>
                <w:rFonts w:ascii="Arial" w:hAnsi="Arial" w:cs="Arial"/>
                <w:sz w:val="24"/>
                <w:szCs w:val="24"/>
              </w:rPr>
              <w:t>if the</w:t>
            </w:r>
            <w:r w:rsidRPr="0001518E">
              <w:rPr>
                <w:rFonts w:ascii="Arial" w:hAnsi="Arial" w:cs="Arial"/>
                <w:sz w:val="24"/>
                <w:szCs w:val="24"/>
              </w:rPr>
              <w:t xml:space="preserve"> vessel </w:t>
            </w:r>
            <w:r w:rsidR="00FE3A57" w:rsidRPr="0001518E">
              <w:rPr>
                <w:rFonts w:ascii="Arial" w:hAnsi="Arial" w:cs="Arial"/>
                <w:sz w:val="24"/>
                <w:szCs w:val="24"/>
              </w:rPr>
              <w:t>has</w:t>
            </w:r>
            <w:r w:rsidRPr="0001518E">
              <w:rPr>
                <w:rFonts w:ascii="Arial" w:hAnsi="Arial" w:cs="Arial"/>
                <w:sz w:val="24"/>
                <w:szCs w:val="24"/>
              </w:rPr>
              <w:t xml:space="preserve"> </w:t>
            </w:r>
            <w:r w:rsidR="00FE3A57" w:rsidRPr="0001518E">
              <w:rPr>
                <w:rFonts w:ascii="Arial" w:hAnsi="Arial" w:cs="Arial"/>
                <w:sz w:val="24"/>
                <w:szCs w:val="24"/>
              </w:rPr>
              <w:t xml:space="preserve">load line sign as per the Annex 3 of this rule. </w:t>
            </w:r>
          </w:p>
        </w:tc>
      </w:tr>
      <w:tr w:rsidR="00FE3A57" w:rsidRPr="0001518E" w14:paraId="79DE26A6" w14:textId="77777777" w:rsidTr="007400CF">
        <w:tc>
          <w:tcPr>
            <w:tcW w:w="1525" w:type="dxa"/>
            <w:shd w:val="clear" w:color="auto" w:fill="BFBFBF" w:themeFill="background1" w:themeFillShade="BF"/>
          </w:tcPr>
          <w:p w14:paraId="2B7A5690" w14:textId="77777777" w:rsidR="00FE3A57" w:rsidRPr="0001518E" w:rsidRDefault="00FE3A57" w:rsidP="0001518E">
            <w:pPr>
              <w:spacing w:before="120" w:after="120"/>
              <w:rPr>
                <w:rFonts w:ascii="Arial" w:hAnsi="Arial" w:cs="Arial"/>
                <w:sz w:val="18"/>
                <w:szCs w:val="18"/>
              </w:rPr>
            </w:pPr>
          </w:p>
        </w:tc>
        <w:tc>
          <w:tcPr>
            <w:tcW w:w="450" w:type="dxa"/>
            <w:shd w:val="clear" w:color="auto" w:fill="BFBFBF" w:themeFill="background1" w:themeFillShade="BF"/>
          </w:tcPr>
          <w:p w14:paraId="0F579201" w14:textId="77777777" w:rsidR="00FE3A57" w:rsidRPr="0001518E" w:rsidRDefault="00FE3A57" w:rsidP="0001518E">
            <w:pPr>
              <w:spacing w:before="120" w:after="120"/>
              <w:rPr>
                <w:rFonts w:ascii="Arial" w:hAnsi="Arial" w:cs="Arial"/>
                <w:sz w:val="24"/>
                <w:szCs w:val="24"/>
              </w:rPr>
            </w:pPr>
          </w:p>
        </w:tc>
        <w:tc>
          <w:tcPr>
            <w:tcW w:w="7375" w:type="dxa"/>
            <w:shd w:val="clear" w:color="auto" w:fill="BFBFBF" w:themeFill="background1" w:themeFillShade="BF"/>
          </w:tcPr>
          <w:p w14:paraId="2D88F2FA" w14:textId="77777777" w:rsidR="00FE3A57" w:rsidRPr="0001518E" w:rsidRDefault="00FE3A57" w:rsidP="0001518E">
            <w:pPr>
              <w:pStyle w:val="ListParagraph"/>
              <w:spacing w:before="120" w:after="120"/>
              <w:ind w:left="331"/>
              <w:rPr>
                <w:rFonts w:ascii="Arial" w:hAnsi="Arial" w:cs="Arial"/>
                <w:sz w:val="24"/>
                <w:szCs w:val="24"/>
              </w:rPr>
            </w:pPr>
          </w:p>
        </w:tc>
      </w:tr>
      <w:tr w:rsidR="00FE3A57" w:rsidRPr="0001518E" w14:paraId="51D20CB5" w14:textId="77777777" w:rsidTr="007400CF">
        <w:tc>
          <w:tcPr>
            <w:tcW w:w="1525" w:type="dxa"/>
          </w:tcPr>
          <w:p w14:paraId="0E81FC0B" w14:textId="47DD029D" w:rsidR="00FE3A57" w:rsidRPr="0001518E" w:rsidRDefault="00FE3A57" w:rsidP="0001518E">
            <w:pPr>
              <w:spacing w:before="120" w:after="120"/>
              <w:rPr>
                <w:rFonts w:ascii="Arial" w:hAnsi="Arial" w:cs="Arial"/>
                <w:sz w:val="18"/>
                <w:szCs w:val="18"/>
              </w:rPr>
            </w:pPr>
            <w:r w:rsidRPr="0001518E">
              <w:rPr>
                <w:rFonts w:ascii="Arial" w:hAnsi="Arial" w:cs="Arial"/>
                <w:sz w:val="18"/>
                <w:szCs w:val="18"/>
              </w:rPr>
              <w:t xml:space="preserve">Safety appliances and safety measures </w:t>
            </w:r>
          </w:p>
        </w:tc>
        <w:tc>
          <w:tcPr>
            <w:tcW w:w="450" w:type="dxa"/>
          </w:tcPr>
          <w:p w14:paraId="2BAEE7A5" w14:textId="73818D2F" w:rsidR="00FE3A57" w:rsidRPr="0001518E" w:rsidRDefault="00FE3A57" w:rsidP="0001518E">
            <w:pPr>
              <w:spacing w:before="120" w:after="120"/>
              <w:rPr>
                <w:rFonts w:ascii="Arial" w:hAnsi="Arial" w:cs="Arial"/>
                <w:sz w:val="24"/>
                <w:szCs w:val="24"/>
              </w:rPr>
            </w:pPr>
            <w:r w:rsidRPr="0001518E">
              <w:rPr>
                <w:rFonts w:ascii="Arial" w:hAnsi="Arial" w:cs="Arial"/>
                <w:sz w:val="24"/>
                <w:szCs w:val="24"/>
              </w:rPr>
              <w:t>26</w:t>
            </w:r>
          </w:p>
        </w:tc>
        <w:tc>
          <w:tcPr>
            <w:tcW w:w="7375" w:type="dxa"/>
          </w:tcPr>
          <w:p w14:paraId="6FF980E0" w14:textId="2038F56A" w:rsidR="00FE3A57" w:rsidRPr="0001518E" w:rsidRDefault="00FE3A57" w:rsidP="0001518E">
            <w:pPr>
              <w:spacing w:before="120" w:after="120"/>
              <w:rPr>
                <w:rFonts w:ascii="Arial" w:hAnsi="Arial" w:cs="Arial"/>
                <w:sz w:val="24"/>
                <w:szCs w:val="24"/>
              </w:rPr>
            </w:pPr>
            <w:r w:rsidRPr="0001518E">
              <w:rPr>
                <w:rFonts w:ascii="Arial" w:hAnsi="Arial" w:cs="Arial"/>
                <w:sz w:val="24"/>
                <w:szCs w:val="24"/>
              </w:rPr>
              <w:t xml:space="preserve">Any vessel operating in Maldives should have necessary safety appliances as per annex 2 of this rule. These appliances and measures should be completed as per the vessel’s category. </w:t>
            </w:r>
          </w:p>
        </w:tc>
      </w:tr>
      <w:tr w:rsidR="00FE3A57" w:rsidRPr="0001518E" w14:paraId="3F72F846" w14:textId="77777777" w:rsidTr="007400CF">
        <w:tc>
          <w:tcPr>
            <w:tcW w:w="1525" w:type="dxa"/>
          </w:tcPr>
          <w:p w14:paraId="26293CF4" w14:textId="261DE7FF" w:rsidR="00FE3A57" w:rsidRPr="0001518E" w:rsidRDefault="00FE3A57" w:rsidP="0001518E">
            <w:pPr>
              <w:spacing w:before="120" w:after="120"/>
              <w:rPr>
                <w:rFonts w:ascii="Arial" w:hAnsi="Arial" w:cs="Arial"/>
                <w:sz w:val="18"/>
                <w:szCs w:val="18"/>
              </w:rPr>
            </w:pPr>
            <w:r w:rsidRPr="0001518E">
              <w:rPr>
                <w:rFonts w:ascii="Arial" w:hAnsi="Arial" w:cs="Arial"/>
                <w:sz w:val="18"/>
                <w:szCs w:val="18"/>
              </w:rPr>
              <w:t xml:space="preserve">Lifejacket and life buoy </w:t>
            </w:r>
          </w:p>
        </w:tc>
        <w:tc>
          <w:tcPr>
            <w:tcW w:w="450" w:type="dxa"/>
          </w:tcPr>
          <w:p w14:paraId="17141524" w14:textId="6A705BBC" w:rsidR="00FE3A57" w:rsidRPr="0001518E" w:rsidRDefault="00FE3A57" w:rsidP="0001518E">
            <w:pPr>
              <w:spacing w:before="120" w:after="120"/>
              <w:rPr>
                <w:rFonts w:ascii="Arial" w:hAnsi="Arial" w:cs="Arial"/>
                <w:sz w:val="24"/>
                <w:szCs w:val="24"/>
              </w:rPr>
            </w:pPr>
            <w:r w:rsidRPr="0001518E">
              <w:rPr>
                <w:rFonts w:ascii="Arial" w:hAnsi="Arial" w:cs="Arial"/>
                <w:sz w:val="24"/>
                <w:szCs w:val="24"/>
              </w:rPr>
              <w:t>27</w:t>
            </w:r>
          </w:p>
        </w:tc>
        <w:tc>
          <w:tcPr>
            <w:tcW w:w="7375" w:type="dxa"/>
          </w:tcPr>
          <w:p w14:paraId="6F49F82E" w14:textId="77777777" w:rsidR="00FE3A57" w:rsidRPr="0001518E" w:rsidRDefault="00B81CE9" w:rsidP="0001518E">
            <w:pPr>
              <w:pStyle w:val="ListParagraph"/>
              <w:numPr>
                <w:ilvl w:val="0"/>
                <w:numId w:val="5"/>
              </w:numPr>
              <w:spacing w:before="120" w:after="120"/>
              <w:ind w:left="337"/>
              <w:rPr>
                <w:rFonts w:ascii="Arial" w:hAnsi="Arial" w:cs="Arial"/>
                <w:sz w:val="24"/>
                <w:szCs w:val="24"/>
              </w:rPr>
            </w:pPr>
            <w:r w:rsidRPr="0001518E">
              <w:rPr>
                <w:rFonts w:ascii="Arial" w:hAnsi="Arial" w:cs="Arial"/>
                <w:sz w:val="24"/>
                <w:szCs w:val="24"/>
              </w:rPr>
              <w:t>Life jacket and life buoy in v</w:t>
            </w:r>
            <w:r w:rsidR="00FE3A57" w:rsidRPr="0001518E">
              <w:rPr>
                <w:rFonts w:ascii="Arial" w:hAnsi="Arial" w:cs="Arial"/>
                <w:sz w:val="24"/>
                <w:szCs w:val="24"/>
              </w:rPr>
              <w:t xml:space="preserve">essels operating in Maldives </w:t>
            </w:r>
            <w:r w:rsidRPr="0001518E">
              <w:rPr>
                <w:rFonts w:ascii="Arial" w:hAnsi="Arial" w:cs="Arial"/>
                <w:sz w:val="24"/>
                <w:szCs w:val="24"/>
              </w:rPr>
              <w:t>should be Transport Authority approve</w:t>
            </w:r>
            <w:r w:rsidR="00CC653E" w:rsidRPr="0001518E">
              <w:rPr>
                <w:rFonts w:ascii="Arial" w:hAnsi="Arial" w:cs="Arial"/>
                <w:sz w:val="24"/>
                <w:szCs w:val="24"/>
              </w:rPr>
              <w:t xml:space="preserve">d ones. </w:t>
            </w:r>
            <w:r w:rsidR="00D169F4" w:rsidRPr="0001518E">
              <w:rPr>
                <w:rFonts w:ascii="Arial" w:hAnsi="Arial" w:cs="Arial"/>
                <w:sz w:val="24"/>
                <w:szCs w:val="24"/>
              </w:rPr>
              <w:t xml:space="preserve">Approval criteria for lifejackets and life buoy are in Annex 7 of this rule. </w:t>
            </w:r>
          </w:p>
          <w:p w14:paraId="787BC64A" w14:textId="290E810C" w:rsidR="00D169F4" w:rsidRPr="0001518E" w:rsidRDefault="00D169F4" w:rsidP="0001518E">
            <w:pPr>
              <w:pStyle w:val="ListParagraph"/>
              <w:numPr>
                <w:ilvl w:val="0"/>
                <w:numId w:val="5"/>
              </w:numPr>
              <w:spacing w:before="120" w:after="120"/>
              <w:ind w:left="337"/>
              <w:rPr>
                <w:rFonts w:ascii="Arial" w:hAnsi="Arial" w:cs="Arial"/>
                <w:sz w:val="24"/>
                <w:szCs w:val="24"/>
              </w:rPr>
            </w:pPr>
            <w:r w:rsidRPr="0001518E">
              <w:rPr>
                <w:rFonts w:ascii="Arial" w:hAnsi="Arial" w:cs="Arial"/>
                <w:sz w:val="24"/>
                <w:szCs w:val="24"/>
              </w:rPr>
              <w:t xml:space="preserve">Vessels operating in Maldives should have enough lifejackets for the number of crews and passengers allowed for the vessel. And illustration of how to wear lifejacket should be visible to crews and passengers. </w:t>
            </w:r>
          </w:p>
        </w:tc>
      </w:tr>
      <w:tr w:rsidR="00D169F4" w:rsidRPr="0001518E" w14:paraId="0FF23B69" w14:textId="77777777" w:rsidTr="007400CF">
        <w:tc>
          <w:tcPr>
            <w:tcW w:w="1525" w:type="dxa"/>
          </w:tcPr>
          <w:p w14:paraId="4518EF9E" w14:textId="02815A87" w:rsidR="00D169F4" w:rsidRPr="0001518E" w:rsidRDefault="00D169F4" w:rsidP="0001518E">
            <w:pPr>
              <w:spacing w:before="120" w:after="120"/>
              <w:rPr>
                <w:rFonts w:ascii="Arial" w:hAnsi="Arial" w:cs="Arial"/>
                <w:sz w:val="18"/>
                <w:szCs w:val="18"/>
              </w:rPr>
            </w:pPr>
            <w:r w:rsidRPr="0001518E">
              <w:rPr>
                <w:rFonts w:ascii="Arial" w:hAnsi="Arial" w:cs="Arial"/>
                <w:sz w:val="18"/>
                <w:szCs w:val="18"/>
              </w:rPr>
              <w:t xml:space="preserve">Firefighting appliances  </w:t>
            </w:r>
          </w:p>
        </w:tc>
        <w:tc>
          <w:tcPr>
            <w:tcW w:w="450" w:type="dxa"/>
          </w:tcPr>
          <w:p w14:paraId="68AD591D" w14:textId="7402DBCB" w:rsidR="00D169F4" w:rsidRPr="0001518E" w:rsidRDefault="00D169F4" w:rsidP="0001518E">
            <w:pPr>
              <w:spacing w:before="120" w:after="120"/>
              <w:rPr>
                <w:rFonts w:ascii="Arial" w:hAnsi="Arial" w:cs="Arial"/>
                <w:sz w:val="24"/>
                <w:szCs w:val="24"/>
              </w:rPr>
            </w:pPr>
            <w:r w:rsidRPr="0001518E">
              <w:rPr>
                <w:rFonts w:ascii="Arial" w:hAnsi="Arial" w:cs="Arial"/>
                <w:sz w:val="24"/>
                <w:szCs w:val="24"/>
              </w:rPr>
              <w:t>28</w:t>
            </w:r>
          </w:p>
        </w:tc>
        <w:tc>
          <w:tcPr>
            <w:tcW w:w="7375" w:type="dxa"/>
          </w:tcPr>
          <w:p w14:paraId="183B5530" w14:textId="27A0B1A4" w:rsidR="00D169F4" w:rsidRPr="0001518E" w:rsidRDefault="004059F2" w:rsidP="0001518E">
            <w:pPr>
              <w:pStyle w:val="ListParagraph"/>
              <w:numPr>
                <w:ilvl w:val="0"/>
                <w:numId w:val="7"/>
              </w:numPr>
              <w:spacing w:before="120" w:after="120"/>
              <w:ind w:left="337"/>
              <w:rPr>
                <w:rFonts w:ascii="Arial" w:hAnsi="Arial" w:cs="Arial"/>
                <w:sz w:val="24"/>
                <w:szCs w:val="24"/>
              </w:rPr>
            </w:pPr>
            <w:r w:rsidRPr="0001518E">
              <w:rPr>
                <w:rFonts w:ascii="Arial" w:hAnsi="Arial" w:cs="Arial"/>
                <w:sz w:val="24"/>
                <w:szCs w:val="24"/>
              </w:rPr>
              <w:t>F</w:t>
            </w:r>
            <w:r w:rsidR="00BD4277" w:rsidRPr="0001518E">
              <w:rPr>
                <w:rFonts w:ascii="Arial" w:hAnsi="Arial" w:cs="Arial"/>
                <w:sz w:val="24"/>
                <w:szCs w:val="24"/>
              </w:rPr>
              <w:t>irefighting a</w:t>
            </w:r>
            <w:r w:rsidRPr="0001518E">
              <w:rPr>
                <w:rFonts w:ascii="Arial" w:hAnsi="Arial" w:cs="Arial"/>
                <w:sz w:val="24"/>
                <w:szCs w:val="24"/>
              </w:rPr>
              <w:t xml:space="preserve">ppliances use in vessel operating in Maldives should be approved by Ministry of Defense and National security or a party approved by the government. And the survey of those appliances should be conducted by an approved party. </w:t>
            </w:r>
          </w:p>
          <w:p w14:paraId="5ACBBAB7" w14:textId="103D0D9D" w:rsidR="004059F2" w:rsidRPr="0001518E" w:rsidRDefault="004059F2" w:rsidP="0001518E">
            <w:pPr>
              <w:pStyle w:val="ListParagraph"/>
              <w:numPr>
                <w:ilvl w:val="0"/>
                <w:numId w:val="7"/>
              </w:numPr>
              <w:spacing w:before="120" w:after="120"/>
              <w:ind w:left="337"/>
              <w:rPr>
                <w:rFonts w:ascii="Arial" w:hAnsi="Arial" w:cs="Arial"/>
                <w:sz w:val="24"/>
                <w:szCs w:val="24"/>
              </w:rPr>
            </w:pPr>
            <w:r w:rsidRPr="0001518E">
              <w:rPr>
                <w:rFonts w:ascii="Arial" w:hAnsi="Arial" w:cs="Arial"/>
                <w:sz w:val="24"/>
                <w:szCs w:val="24"/>
              </w:rPr>
              <w:t xml:space="preserve"> … ….</w:t>
            </w:r>
          </w:p>
          <w:p w14:paraId="4E20FEBE" w14:textId="77777777" w:rsidR="004059F2" w:rsidRPr="0001518E" w:rsidRDefault="004059F2" w:rsidP="0001518E">
            <w:pPr>
              <w:pStyle w:val="ListParagraph"/>
              <w:tabs>
                <w:tab w:val="left" w:pos="379"/>
              </w:tabs>
              <w:spacing w:before="120" w:after="120"/>
              <w:ind w:left="0" w:hanging="23"/>
              <w:rPr>
                <w:rFonts w:ascii="Arial" w:hAnsi="Arial" w:cs="Arial"/>
                <w:sz w:val="24"/>
                <w:szCs w:val="24"/>
              </w:rPr>
            </w:pPr>
            <w:r w:rsidRPr="0001518E">
              <w:rPr>
                <w:rFonts w:ascii="Arial" w:hAnsi="Arial" w:cs="Arial"/>
                <w:sz w:val="24"/>
                <w:szCs w:val="24"/>
              </w:rPr>
              <w:t xml:space="preserve">c.   any vessel registered in Maldives which is greater than 30 meters in length or anchored floating platform should have fire pump, fire hose not shorter than the length of vessel and nozzles for the hose. </w:t>
            </w:r>
          </w:p>
          <w:p w14:paraId="5D4089C5" w14:textId="75475F54" w:rsidR="004059F2" w:rsidRPr="0001518E" w:rsidRDefault="004059F2" w:rsidP="0001518E">
            <w:pPr>
              <w:pStyle w:val="ListParagraph"/>
              <w:tabs>
                <w:tab w:val="left" w:pos="379"/>
              </w:tabs>
              <w:spacing w:before="120" w:after="120"/>
              <w:ind w:left="0" w:hanging="23"/>
              <w:rPr>
                <w:rFonts w:ascii="Arial" w:hAnsi="Arial" w:cs="Arial"/>
                <w:sz w:val="24"/>
                <w:szCs w:val="24"/>
              </w:rPr>
            </w:pPr>
          </w:p>
        </w:tc>
      </w:tr>
    </w:tbl>
    <w:p w14:paraId="08425863" w14:textId="2C3027CE" w:rsidR="00475490" w:rsidRPr="0001518E" w:rsidRDefault="00475490" w:rsidP="0001518E">
      <w:pPr>
        <w:spacing w:before="120" w:after="120"/>
        <w:rPr>
          <w:rFonts w:ascii="Arial" w:hAnsi="Arial" w:cs="Arial"/>
          <w:sz w:val="24"/>
          <w:szCs w:val="24"/>
        </w:rPr>
      </w:pPr>
    </w:p>
    <w:p w14:paraId="7E4DDA7E" w14:textId="77777777" w:rsidR="00023679" w:rsidRPr="0001518E" w:rsidRDefault="00023679" w:rsidP="0001518E">
      <w:pPr>
        <w:spacing w:before="120" w:after="120"/>
        <w:rPr>
          <w:rFonts w:ascii="Arial" w:hAnsi="Arial" w:cs="Arial"/>
          <w:sz w:val="24"/>
          <w:szCs w:val="24"/>
        </w:rPr>
      </w:pPr>
      <w:r w:rsidRPr="0001518E">
        <w:rPr>
          <w:rFonts w:ascii="Arial" w:hAnsi="Arial" w:cs="Arial"/>
          <w:sz w:val="24"/>
          <w:szCs w:val="24"/>
        </w:rPr>
        <w:br w:type="page"/>
      </w:r>
    </w:p>
    <w:p w14:paraId="7988F910" w14:textId="049FB776" w:rsidR="007400CF" w:rsidRPr="0001518E" w:rsidRDefault="007400CF" w:rsidP="0001518E">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rPr>
          <w:rFonts w:ascii="Arial" w:hAnsi="Arial" w:cs="Arial"/>
          <w:sz w:val="24"/>
          <w:szCs w:val="24"/>
        </w:rPr>
      </w:pPr>
      <w:r w:rsidRPr="0001518E">
        <w:rPr>
          <w:rFonts w:ascii="Arial" w:hAnsi="Arial" w:cs="Arial"/>
          <w:sz w:val="24"/>
          <w:szCs w:val="24"/>
        </w:rPr>
        <w:lastRenderedPageBreak/>
        <w:t xml:space="preserve">Annex </w:t>
      </w:r>
      <w:proofErr w:type="gramStart"/>
      <w:r w:rsidRPr="0001518E">
        <w:rPr>
          <w:rFonts w:ascii="Arial" w:hAnsi="Arial" w:cs="Arial"/>
          <w:sz w:val="24"/>
          <w:szCs w:val="24"/>
        </w:rPr>
        <w:t>2 :</w:t>
      </w:r>
      <w:proofErr w:type="gramEnd"/>
      <w:r w:rsidRPr="0001518E">
        <w:rPr>
          <w:rFonts w:ascii="Arial" w:hAnsi="Arial" w:cs="Arial"/>
          <w:sz w:val="24"/>
          <w:szCs w:val="24"/>
        </w:rPr>
        <w:t xml:space="preserve"> appliances </w:t>
      </w:r>
      <w:r w:rsidR="006C52FE" w:rsidRPr="0001518E">
        <w:rPr>
          <w:rFonts w:ascii="Arial" w:hAnsi="Arial" w:cs="Arial"/>
          <w:sz w:val="24"/>
          <w:szCs w:val="24"/>
        </w:rPr>
        <w:t xml:space="preserve">and things required. </w:t>
      </w:r>
    </w:p>
    <w:p w14:paraId="557563F4" w14:textId="77777777" w:rsidR="006C52FE" w:rsidRPr="0001518E" w:rsidRDefault="007400CF" w:rsidP="0001518E">
      <w:pPr>
        <w:spacing w:before="120" w:after="120"/>
        <w:rPr>
          <w:rFonts w:ascii="Arial" w:hAnsi="Arial" w:cs="Arial"/>
          <w:sz w:val="24"/>
          <w:szCs w:val="24"/>
        </w:rPr>
      </w:pPr>
      <w:r w:rsidRPr="0001518E">
        <w:rPr>
          <w:rFonts w:ascii="Arial" w:hAnsi="Arial" w:cs="Arial"/>
          <w:sz w:val="24"/>
          <w:szCs w:val="24"/>
        </w:rPr>
        <w:tab/>
      </w:r>
      <w:r w:rsidRPr="0001518E">
        <w:rPr>
          <w:rFonts w:ascii="Arial" w:hAnsi="Arial" w:cs="Arial"/>
          <w:sz w:val="24"/>
          <w:szCs w:val="24"/>
        </w:rPr>
        <w:tab/>
      </w:r>
    </w:p>
    <w:tbl>
      <w:tblPr>
        <w:tblStyle w:val="TableGrid"/>
        <w:tblW w:w="9630" w:type="dxa"/>
        <w:tblInd w:w="-95" w:type="dxa"/>
        <w:tblLook w:val="04A0" w:firstRow="1" w:lastRow="0" w:firstColumn="1" w:lastColumn="0" w:noHBand="0" w:noVBand="1"/>
      </w:tblPr>
      <w:tblGrid>
        <w:gridCol w:w="5154"/>
        <w:gridCol w:w="746"/>
        <w:gridCol w:w="746"/>
        <w:gridCol w:w="746"/>
        <w:gridCol w:w="746"/>
        <w:gridCol w:w="746"/>
        <w:gridCol w:w="746"/>
      </w:tblGrid>
      <w:tr w:rsidR="006C52FE" w:rsidRPr="0001518E" w14:paraId="7BF68D72" w14:textId="77777777" w:rsidTr="00023679">
        <w:trPr>
          <w:cantSplit/>
          <w:trHeight w:val="1134"/>
        </w:trPr>
        <w:tc>
          <w:tcPr>
            <w:tcW w:w="6368" w:type="dxa"/>
            <w:shd w:val="clear" w:color="auto" w:fill="BFBFBF" w:themeFill="background1" w:themeFillShade="BF"/>
            <w:vAlign w:val="center"/>
          </w:tcPr>
          <w:p w14:paraId="43306BEE" w14:textId="6C40F91A" w:rsidR="006C52FE" w:rsidRPr="0001518E" w:rsidRDefault="006C52FE" w:rsidP="0001518E">
            <w:pPr>
              <w:spacing w:before="120" w:after="120"/>
              <w:jc w:val="center"/>
              <w:rPr>
                <w:rFonts w:ascii="Arial" w:hAnsi="Arial" w:cs="Arial"/>
                <w:sz w:val="24"/>
                <w:szCs w:val="24"/>
              </w:rPr>
            </w:pPr>
            <w:r w:rsidRPr="0001518E">
              <w:rPr>
                <w:rFonts w:ascii="Arial" w:hAnsi="Arial" w:cs="Arial"/>
                <w:sz w:val="24"/>
                <w:szCs w:val="24"/>
              </w:rPr>
              <w:t>appliances and things required.</w:t>
            </w:r>
          </w:p>
        </w:tc>
        <w:tc>
          <w:tcPr>
            <w:tcW w:w="608" w:type="dxa"/>
            <w:shd w:val="clear" w:color="auto" w:fill="BFBFBF" w:themeFill="background1" w:themeFillShade="BF"/>
            <w:textDirection w:val="tbRl"/>
          </w:tcPr>
          <w:p w14:paraId="33A950A5" w14:textId="1211466C"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Cat. A</w:t>
            </w:r>
          </w:p>
        </w:tc>
        <w:tc>
          <w:tcPr>
            <w:tcW w:w="506" w:type="dxa"/>
            <w:shd w:val="clear" w:color="auto" w:fill="BFBFBF" w:themeFill="background1" w:themeFillShade="BF"/>
            <w:textDirection w:val="tbRl"/>
          </w:tcPr>
          <w:p w14:paraId="018792DA" w14:textId="3186A5AC"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Cat. B</w:t>
            </w:r>
          </w:p>
        </w:tc>
        <w:tc>
          <w:tcPr>
            <w:tcW w:w="537" w:type="dxa"/>
            <w:shd w:val="clear" w:color="auto" w:fill="BFBFBF" w:themeFill="background1" w:themeFillShade="BF"/>
            <w:textDirection w:val="tbRl"/>
          </w:tcPr>
          <w:p w14:paraId="49195E8E" w14:textId="19DA09C8"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Cat. C</w:t>
            </w:r>
          </w:p>
        </w:tc>
        <w:tc>
          <w:tcPr>
            <w:tcW w:w="537" w:type="dxa"/>
            <w:shd w:val="clear" w:color="auto" w:fill="BFBFBF" w:themeFill="background1" w:themeFillShade="BF"/>
            <w:textDirection w:val="tbRl"/>
          </w:tcPr>
          <w:p w14:paraId="6D4D519D" w14:textId="4F882221"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Cat. D</w:t>
            </w:r>
          </w:p>
        </w:tc>
        <w:tc>
          <w:tcPr>
            <w:tcW w:w="537" w:type="dxa"/>
            <w:shd w:val="clear" w:color="auto" w:fill="BFBFBF" w:themeFill="background1" w:themeFillShade="BF"/>
            <w:textDirection w:val="tbRl"/>
          </w:tcPr>
          <w:p w14:paraId="4A40EC25" w14:textId="660FA432"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Cat. E</w:t>
            </w:r>
          </w:p>
        </w:tc>
        <w:tc>
          <w:tcPr>
            <w:tcW w:w="537" w:type="dxa"/>
            <w:shd w:val="clear" w:color="auto" w:fill="BFBFBF" w:themeFill="background1" w:themeFillShade="BF"/>
            <w:textDirection w:val="tbRl"/>
          </w:tcPr>
          <w:p w14:paraId="37B027E0" w14:textId="5A2115FD"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Code 9</w:t>
            </w:r>
          </w:p>
        </w:tc>
      </w:tr>
      <w:tr w:rsidR="006C52FE" w:rsidRPr="0001518E" w14:paraId="2E2FF0B5" w14:textId="77777777" w:rsidTr="00023679">
        <w:trPr>
          <w:cantSplit/>
          <w:trHeight w:val="368"/>
        </w:trPr>
        <w:tc>
          <w:tcPr>
            <w:tcW w:w="6368" w:type="dxa"/>
            <w:vAlign w:val="center"/>
          </w:tcPr>
          <w:p w14:paraId="5F08FCDA" w14:textId="6B6399E6" w:rsidR="006C52FE" w:rsidRPr="0001518E" w:rsidRDefault="006C52FE" w:rsidP="0001518E">
            <w:pPr>
              <w:spacing w:before="120" w:after="120"/>
              <w:rPr>
                <w:rFonts w:ascii="Arial" w:hAnsi="Arial" w:cs="Arial"/>
                <w:sz w:val="20"/>
                <w:szCs w:val="20"/>
              </w:rPr>
            </w:pPr>
            <w:r w:rsidRPr="0001518E">
              <w:rPr>
                <w:rFonts w:ascii="Arial" w:hAnsi="Arial" w:cs="Arial"/>
                <w:sz w:val="20"/>
                <w:szCs w:val="20"/>
              </w:rPr>
              <w:t>1. Vessel registry number should be displayed in forward both sides of vessel in black board with white letters.</w:t>
            </w:r>
          </w:p>
        </w:tc>
        <w:tc>
          <w:tcPr>
            <w:tcW w:w="608" w:type="dxa"/>
            <w:textDirection w:val="tbRl"/>
          </w:tcPr>
          <w:p w14:paraId="76D91574" w14:textId="6713F467"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0118F051" w14:textId="03940A55"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4C7F991" w14:textId="615D1C78"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76BDF49C" w14:textId="4C1A0D45"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705DEE35" w14:textId="1E7BFC91"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E884E47" w14:textId="1594FAC1" w:rsidR="006C52FE" w:rsidRPr="0001518E" w:rsidRDefault="006C52FE"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6C52FE" w:rsidRPr="0001518E" w14:paraId="314E1E3C" w14:textId="77777777" w:rsidTr="00023679">
        <w:trPr>
          <w:cantSplit/>
          <w:trHeight w:val="350"/>
        </w:trPr>
        <w:tc>
          <w:tcPr>
            <w:tcW w:w="6368" w:type="dxa"/>
            <w:vAlign w:val="center"/>
          </w:tcPr>
          <w:p w14:paraId="6B723D95" w14:textId="5D87B81E" w:rsidR="006C52FE" w:rsidRPr="0001518E" w:rsidRDefault="006C52FE" w:rsidP="0001518E">
            <w:pPr>
              <w:spacing w:before="120" w:after="120"/>
              <w:rPr>
                <w:rFonts w:ascii="Arial" w:hAnsi="Arial" w:cs="Arial"/>
                <w:sz w:val="20"/>
                <w:szCs w:val="20"/>
              </w:rPr>
            </w:pPr>
            <w:r w:rsidRPr="0001518E">
              <w:rPr>
                <w:rFonts w:ascii="Arial" w:hAnsi="Arial" w:cs="Arial"/>
                <w:sz w:val="20"/>
                <w:szCs w:val="20"/>
              </w:rPr>
              <w:t xml:space="preserve">2. </w:t>
            </w:r>
            <w:r w:rsidR="00874357" w:rsidRPr="0001518E">
              <w:rPr>
                <w:rFonts w:ascii="Arial" w:hAnsi="Arial" w:cs="Arial"/>
                <w:sz w:val="20"/>
                <w:szCs w:val="20"/>
              </w:rPr>
              <w:t>Should have medicines (not expired) mentioned in Annex 6 of regulation on traveling in Maldives sea and sea going vessels.</w:t>
            </w:r>
          </w:p>
        </w:tc>
        <w:tc>
          <w:tcPr>
            <w:tcW w:w="608" w:type="dxa"/>
            <w:textDirection w:val="tbRl"/>
          </w:tcPr>
          <w:p w14:paraId="18B15B2B" w14:textId="3AAF3E73"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67033299" w14:textId="6FFB9CAA"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0B8F758" w14:textId="71111886"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2F5A3B0" w14:textId="37E6B3DB"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4958409" w14:textId="288EB70C"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6F71E31" w14:textId="3AE3D42A" w:rsidR="006C52FE" w:rsidRPr="0001518E" w:rsidRDefault="00874357"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405996DB" w14:textId="77777777" w:rsidTr="00023679">
        <w:trPr>
          <w:cantSplit/>
          <w:trHeight w:val="350"/>
        </w:trPr>
        <w:tc>
          <w:tcPr>
            <w:tcW w:w="6368" w:type="dxa"/>
            <w:vAlign w:val="center"/>
          </w:tcPr>
          <w:p w14:paraId="230D69A8" w14:textId="5389EA2F"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3. Life buoy (with name and registration number printed on) should be located onboard vessel where it is easily assessible. Life buoy should have 30-foot rope attached to it.</w:t>
            </w:r>
          </w:p>
        </w:tc>
        <w:tc>
          <w:tcPr>
            <w:tcW w:w="608" w:type="dxa"/>
            <w:textDirection w:val="tbRl"/>
          </w:tcPr>
          <w:p w14:paraId="549B176A" w14:textId="2E42379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5CDE1EFD" w14:textId="3D5A522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057B5D0" w14:textId="4D0E568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FE6C79A" w14:textId="3A1AEB1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3842D05" w14:textId="35B8931D"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0BFFCFE" w14:textId="04F0924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75CC994B" w14:textId="77777777" w:rsidTr="00023679">
        <w:trPr>
          <w:cantSplit/>
          <w:trHeight w:val="350"/>
        </w:trPr>
        <w:tc>
          <w:tcPr>
            <w:tcW w:w="6368" w:type="dxa"/>
            <w:vAlign w:val="center"/>
          </w:tcPr>
          <w:p w14:paraId="27145F8E" w14:textId="0C0B88A7"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4. Communication set required under this rule should be installed near the caption of the vessel while on voyage. Communication set should be ready to use. </w:t>
            </w:r>
          </w:p>
        </w:tc>
        <w:tc>
          <w:tcPr>
            <w:tcW w:w="608" w:type="dxa"/>
            <w:textDirection w:val="tbRl"/>
          </w:tcPr>
          <w:p w14:paraId="53A29DD5" w14:textId="62099EC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208DC6A7" w14:textId="261CB3F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7A0AB913" w14:textId="3630369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86B07E4" w14:textId="72AAF301"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D1A5E38" w14:textId="2339576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79D3A26" w14:textId="69DA4BB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31EC4B5D" w14:textId="77777777" w:rsidTr="00023679">
        <w:trPr>
          <w:cantSplit/>
          <w:trHeight w:val="350"/>
        </w:trPr>
        <w:tc>
          <w:tcPr>
            <w:tcW w:w="6368" w:type="dxa"/>
            <w:vAlign w:val="center"/>
          </w:tcPr>
          <w:p w14:paraId="600FA886" w14:textId="6533FE69"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5. Should have bucket with vessel name and registration printed on it</w:t>
            </w:r>
          </w:p>
        </w:tc>
        <w:tc>
          <w:tcPr>
            <w:tcW w:w="608" w:type="dxa"/>
            <w:textDirection w:val="tbRl"/>
          </w:tcPr>
          <w:p w14:paraId="53C1061A" w14:textId="24780A7C"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2F140317" w14:textId="2C37086C"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DC7558F" w14:textId="564AD4C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32A1E5F" w14:textId="0FD0A87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1DC1109" w14:textId="52DB811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28636AC" w14:textId="49F55C5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7A7DA846" w14:textId="77777777" w:rsidTr="00023679">
        <w:trPr>
          <w:cantSplit/>
          <w:trHeight w:val="350"/>
        </w:trPr>
        <w:tc>
          <w:tcPr>
            <w:tcW w:w="6368" w:type="dxa"/>
            <w:vAlign w:val="center"/>
          </w:tcPr>
          <w:p w14:paraId="6EB8ED28" w14:textId="7257BF6D"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6. pumps are in usable condition (manual and auto pumps)</w:t>
            </w:r>
          </w:p>
        </w:tc>
        <w:tc>
          <w:tcPr>
            <w:tcW w:w="608" w:type="dxa"/>
            <w:textDirection w:val="tbRl"/>
          </w:tcPr>
          <w:p w14:paraId="476EFCFC" w14:textId="64E3C2BA"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07EC274B" w14:textId="10B24CF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9AC1043" w14:textId="233F48B8"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8F88DAB" w14:textId="4DD57C08"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25F9CDB" w14:textId="120419CC"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9115F32" w14:textId="425E674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5F24DA5F" w14:textId="77777777" w:rsidTr="00023679">
        <w:trPr>
          <w:cantSplit/>
          <w:trHeight w:val="350"/>
        </w:trPr>
        <w:tc>
          <w:tcPr>
            <w:tcW w:w="6368" w:type="dxa"/>
            <w:vAlign w:val="center"/>
          </w:tcPr>
          <w:p w14:paraId="3AE293FE" w14:textId="281FC05C"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7. Vessels with engine travelling in areas of Maldives sea which are in category “A”, “B”, “C” and “D” should have compass installed. </w:t>
            </w:r>
          </w:p>
        </w:tc>
        <w:tc>
          <w:tcPr>
            <w:tcW w:w="608" w:type="dxa"/>
            <w:textDirection w:val="tbRl"/>
          </w:tcPr>
          <w:p w14:paraId="21543CE2" w14:textId="0CB504E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37B07A20" w14:textId="178B04E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849F72B" w14:textId="4B475DE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89BE26C" w14:textId="0BEAD7F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F4A0CBF" w14:textId="0BCE4893"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46D7C81D" w14:textId="045D568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6557C8E2" w14:textId="77777777" w:rsidTr="00023679">
        <w:trPr>
          <w:cantSplit/>
          <w:trHeight w:val="350"/>
        </w:trPr>
        <w:tc>
          <w:tcPr>
            <w:tcW w:w="6368" w:type="dxa"/>
            <w:vAlign w:val="center"/>
          </w:tcPr>
          <w:p w14:paraId="49B9E648" w14:textId="6EA0E140"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8. </w:t>
            </w:r>
            <w:proofErr w:type="gramStart"/>
            <w:r w:rsidRPr="0001518E">
              <w:rPr>
                <w:rFonts w:ascii="Arial" w:hAnsi="Arial" w:cs="Arial"/>
                <w:sz w:val="20"/>
                <w:szCs w:val="20"/>
              </w:rPr>
              <w:t>C,B</w:t>
            </w:r>
            <w:proofErr w:type="gramEnd"/>
            <w:r w:rsidRPr="0001518E">
              <w:rPr>
                <w:rFonts w:ascii="Arial" w:hAnsi="Arial" w:cs="Arial"/>
                <w:sz w:val="20"/>
                <w:szCs w:val="20"/>
              </w:rPr>
              <w:t>,5, N and orange flag onboard and flag set in good condition</w:t>
            </w:r>
          </w:p>
        </w:tc>
        <w:tc>
          <w:tcPr>
            <w:tcW w:w="608" w:type="dxa"/>
            <w:textDirection w:val="tbRl"/>
          </w:tcPr>
          <w:p w14:paraId="7BC431FE" w14:textId="20BEA27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30BED54F" w14:textId="43BEF08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40A113E" w14:textId="0F1F77F1"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1442D53" w14:textId="454911CC"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F8B8CAA" w14:textId="1F3C9042"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7A0227C" w14:textId="717702F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48D04893" w14:textId="77777777" w:rsidTr="00023679">
        <w:trPr>
          <w:cantSplit/>
          <w:trHeight w:val="350"/>
        </w:trPr>
        <w:tc>
          <w:tcPr>
            <w:tcW w:w="6368" w:type="dxa"/>
            <w:vAlign w:val="center"/>
          </w:tcPr>
          <w:p w14:paraId="1C43998A" w14:textId="29DD56FD"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9. Make sure tools required to repair engine is there. </w:t>
            </w:r>
          </w:p>
        </w:tc>
        <w:tc>
          <w:tcPr>
            <w:tcW w:w="608" w:type="dxa"/>
            <w:textDirection w:val="tbRl"/>
          </w:tcPr>
          <w:p w14:paraId="68660B83" w14:textId="4C6AFAC8"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2DD48C43" w14:textId="7DB90F59"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E15C0DA" w14:textId="3F8EB8E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3945538" w14:textId="61583B3A"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C962001" w14:textId="10E4FA9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656BE54" w14:textId="3B6E102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3DCFC2D9" w14:textId="77777777" w:rsidTr="00023679">
        <w:trPr>
          <w:cantSplit/>
          <w:trHeight w:val="350"/>
        </w:trPr>
        <w:tc>
          <w:tcPr>
            <w:tcW w:w="6368" w:type="dxa"/>
            <w:vAlign w:val="center"/>
          </w:tcPr>
          <w:p w14:paraId="675BC0C0" w14:textId="3C1C159C"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10. Forward navigation light of vessel (white light) is on at 225 degrees and should be visible to 1-mile distance</w:t>
            </w:r>
          </w:p>
        </w:tc>
        <w:tc>
          <w:tcPr>
            <w:tcW w:w="608" w:type="dxa"/>
            <w:textDirection w:val="tbRl"/>
          </w:tcPr>
          <w:p w14:paraId="45FE64E9" w14:textId="3F239ECD"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4B720C58" w14:textId="086E82D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715073AB" w14:textId="129DF6F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6724FF2" w14:textId="5118A73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A71D53F" w14:textId="39D4C7D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C0EC606" w14:textId="3304816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0C7C1D82" w14:textId="77777777" w:rsidTr="00023679">
        <w:trPr>
          <w:cantSplit/>
          <w:trHeight w:val="350"/>
        </w:trPr>
        <w:tc>
          <w:tcPr>
            <w:tcW w:w="6368" w:type="dxa"/>
            <w:vAlign w:val="center"/>
          </w:tcPr>
          <w:p w14:paraId="02D85382" w14:textId="2AF52358"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11. Starboard navigation light of vessel (green light) is on at 112.5 degrees and should be visible to 1-mile distance</w:t>
            </w:r>
          </w:p>
        </w:tc>
        <w:tc>
          <w:tcPr>
            <w:tcW w:w="608" w:type="dxa"/>
            <w:textDirection w:val="tbRl"/>
          </w:tcPr>
          <w:p w14:paraId="40084E23" w14:textId="548FF7A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19AA5921" w14:textId="4EE4A8D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72A0B40" w14:textId="352D9C2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2FE5BEE" w14:textId="31CBE3BA"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319B6D1" w14:textId="75EC1775"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C874559" w14:textId="7D4CC8E1"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38794810" w14:textId="77777777" w:rsidTr="00023679">
        <w:trPr>
          <w:cantSplit/>
          <w:trHeight w:val="350"/>
        </w:trPr>
        <w:tc>
          <w:tcPr>
            <w:tcW w:w="6368" w:type="dxa"/>
            <w:vAlign w:val="center"/>
          </w:tcPr>
          <w:p w14:paraId="502FD831" w14:textId="7E7BDE11"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12. Port side navigation light of vessel (red light) is on at 112.5 degrees and should be visible to 1-mile distance</w:t>
            </w:r>
          </w:p>
        </w:tc>
        <w:tc>
          <w:tcPr>
            <w:tcW w:w="608" w:type="dxa"/>
            <w:textDirection w:val="tbRl"/>
          </w:tcPr>
          <w:p w14:paraId="5685C058" w14:textId="321C07E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6430C310" w14:textId="05C356C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3DB82783" w14:textId="31E5C21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5CD0993D" w14:textId="5653374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993B265" w14:textId="517D947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22FA27C" w14:textId="59B546A3"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12F9F5FE" w14:textId="77777777" w:rsidTr="00023679">
        <w:trPr>
          <w:cantSplit/>
          <w:trHeight w:val="530"/>
        </w:trPr>
        <w:tc>
          <w:tcPr>
            <w:tcW w:w="6368" w:type="dxa"/>
            <w:vAlign w:val="center"/>
          </w:tcPr>
          <w:p w14:paraId="4AD3F0B9" w14:textId="2ED997F2"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13. navigations lights should be visible without any obstacles. </w:t>
            </w:r>
          </w:p>
        </w:tc>
        <w:tc>
          <w:tcPr>
            <w:tcW w:w="608" w:type="dxa"/>
            <w:textDirection w:val="tbRl"/>
          </w:tcPr>
          <w:p w14:paraId="3FC6B449" w14:textId="3E369905"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44FF2E82" w14:textId="4F99334D"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CA810D7" w14:textId="4351ECA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69AB2E4" w14:textId="38F1DC0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7CDA3CE" w14:textId="3191D17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711DA8C" w14:textId="421D26B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07A63ED5" w14:textId="77777777" w:rsidTr="00023679">
        <w:trPr>
          <w:cantSplit/>
          <w:trHeight w:val="350"/>
        </w:trPr>
        <w:tc>
          <w:tcPr>
            <w:tcW w:w="6368" w:type="dxa"/>
            <w:vAlign w:val="center"/>
          </w:tcPr>
          <w:p w14:paraId="2112CB74" w14:textId="63154A68"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lastRenderedPageBreak/>
              <w:t>14. Vessels with engine travelling in areas of Maldives sea which are in category “A”, “B”, “C” and “D” should have 3 spare lights or filaments for navigation lights.</w:t>
            </w:r>
          </w:p>
        </w:tc>
        <w:tc>
          <w:tcPr>
            <w:tcW w:w="608" w:type="dxa"/>
            <w:textDirection w:val="tbRl"/>
          </w:tcPr>
          <w:p w14:paraId="6913DDE8" w14:textId="0457CC1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3A34F309" w14:textId="373CC45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C5C6D60" w14:textId="314492AC"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0DCABD5" w14:textId="2EBBA741"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CB8C772" w14:textId="5C3F26FC"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67C83BAD" w14:textId="1D92998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6C36DDAA" w14:textId="77777777" w:rsidTr="00023679">
        <w:trPr>
          <w:cantSplit/>
          <w:trHeight w:val="350"/>
        </w:trPr>
        <w:tc>
          <w:tcPr>
            <w:tcW w:w="6368" w:type="dxa"/>
            <w:vAlign w:val="center"/>
          </w:tcPr>
          <w:p w14:paraId="10DE87E2" w14:textId="42BD62C7"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15. should have working touch light</w:t>
            </w:r>
          </w:p>
        </w:tc>
        <w:tc>
          <w:tcPr>
            <w:tcW w:w="608" w:type="dxa"/>
            <w:textDirection w:val="tbRl"/>
          </w:tcPr>
          <w:p w14:paraId="440FA1E6" w14:textId="59E86B0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26C2C242" w14:textId="445FD2F9"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8A31F51" w14:textId="2B2D80F6"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4F528E3" w14:textId="0BB9236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C2E6ABA" w14:textId="5890E011"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6BC12860" w14:textId="48F0D35A"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14CC2E0B" w14:textId="77777777" w:rsidTr="00023679">
        <w:trPr>
          <w:cantSplit/>
          <w:trHeight w:val="350"/>
        </w:trPr>
        <w:tc>
          <w:tcPr>
            <w:tcW w:w="6368" w:type="dxa"/>
            <w:vAlign w:val="center"/>
          </w:tcPr>
          <w:p w14:paraId="7CE7E1F7" w14:textId="641F6EE6"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16. Vessel length greater than 18 meters should have charts of Maldives. </w:t>
            </w:r>
          </w:p>
        </w:tc>
        <w:tc>
          <w:tcPr>
            <w:tcW w:w="608" w:type="dxa"/>
            <w:textDirection w:val="tbRl"/>
          </w:tcPr>
          <w:p w14:paraId="66D4AF3F" w14:textId="2780BC0E"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08540118" w14:textId="10BB3A22"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9BABD34" w14:textId="79B1E40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2BF9324F" w14:textId="388674F4"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20BBFF1" w14:textId="3C7A03B5"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67CF3FB7" w14:textId="23B6F24C" w:rsidR="00023679" w:rsidRPr="0001518E" w:rsidRDefault="00023679" w:rsidP="0001518E">
            <w:pPr>
              <w:spacing w:before="120" w:after="120"/>
              <w:ind w:left="113" w:right="113"/>
              <w:rPr>
                <w:rFonts w:ascii="Arial" w:hAnsi="Arial" w:cs="Arial"/>
                <w:sz w:val="24"/>
                <w:szCs w:val="24"/>
              </w:rPr>
            </w:pPr>
          </w:p>
        </w:tc>
      </w:tr>
      <w:tr w:rsidR="00023679" w:rsidRPr="0001518E" w14:paraId="1B53CA11" w14:textId="77777777" w:rsidTr="00023679">
        <w:trPr>
          <w:cantSplit/>
          <w:trHeight w:val="350"/>
        </w:trPr>
        <w:tc>
          <w:tcPr>
            <w:tcW w:w="6368" w:type="dxa"/>
            <w:vAlign w:val="center"/>
          </w:tcPr>
          <w:p w14:paraId="3933E247" w14:textId="464ECDD7"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 xml:space="preserve">17. Vessel length greater than 18 meters should have global positioning system with Maldives chart installed. </w:t>
            </w:r>
          </w:p>
        </w:tc>
        <w:tc>
          <w:tcPr>
            <w:tcW w:w="608" w:type="dxa"/>
            <w:textDirection w:val="tbRl"/>
          </w:tcPr>
          <w:p w14:paraId="167CA0DA" w14:textId="2C0A4419"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4633839E" w14:textId="20E348CD"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14D159F" w14:textId="4A6CB285"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5434AB4" w14:textId="52F429FE"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4195C258" w14:textId="25AC02CD"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294D737A" w14:textId="62B71BA2" w:rsidR="00023679" w:rsidRPr="0001518E" w:rsidRDefault="00023679" w:rsidP="0001518E">
            <w:pPr>
              <w:spacing w:before="120" w:after="120"/>
              <w:ind w:left="113" w:right="113"/>
              <w:rPr>
                <w:rFonts w:ascii="Arial" w:hAnsi="Arial" w:cs="Arial"/>
                <w:sz w:val="24"/>
                <w:szCs w:val="24"/>
              </w:rPr>
            </w:pPr>
          </w:p>
        </w:tc>
      </w:tr>
      <w:tr w:rsidR="00023679" w:rsidRPr="0001518E" w14:paraId="2430D1BE" w14:textId="77777777" w:rsidTr="00023679">
        <w:trPr>
          <w:cantSplit/>
          <w:trHeight w:val="350"/>
        </w:trPr>
        <w:tc>
          <w:tcPr>
            <w:tcW w:w="6368" w:type="dxa"/>
            <w:vAlign w:val="center"/>
          </w:tcPr>
          <w:p w14:paraId="47BB21D6" w14:textId="235589BC" w:rsidR="00023679" w:rsidRPr="0001518E" w:rsidRDefault="00023679" w:rsidP="0001518E">
            <w:pPr>
              <w:spacing w:before="120" w:after="120"/>
              <w:rPr>
                <w:rFonts w:ascii="Arial" w:hAnsi="Arial" w:cs="Arial"/>
                <w:sz w:val="20"/>
                <w:szCs w:val="20"/>
              </w:rPr>
            </w:pPr>
            <w:r w:rsidRPr="0001518E">
              <w:rPr>
                <w:rFonts w:ascii="Arial" w:hAnsi="Arial" w:cs="Arial"/>
                <w:sz w:val="20"/>
                <w:szCs w:val="20"/>
              </w:rPr>
              <w:t>18. if the vessel length greater than 30 meters, it should have SOLAS approved firefighting system or fire pump with fire hose which can reach any place on the vessel.</w:t>
            </w:r>
          </w:p>
        </w:tc>
        <w:tc>
          <w:tcPr>
            <w:tcW w:w="608" w:type="dxa"/>
            <w:textDirection w:val="tbRl"/>
          </w:tcPr>
          <w:p w14:paraId="710DF444" w14:textId="274411CF"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06" w:type="dxa"/>
            <w:textDirection w:val="tbRl"/>
          </w:tcPr>
          <w:p w14:paraId="3F60D9A0" w14:textId="796C0597"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0189B1F6" w14:textId="401F786D"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1A7CCDE3" w14:textId="125BD022"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0F334B0" w14:textId="674C565B"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c>
          <w:tcPr>
            <w:tcW w:w="537" w:type="dxa"/>
            <w:textDirection w:val="tbRl"/>
          </w:tcPr>
          <w:p w14:paraId="4D392442" w14:textId="7699CF20" w:rsidR="00023679" w:rsidRPr="0001518E" w:rsidRDefault="00023679" w:rsidP="0001518E">
            <w:pPr>
              <w:spacing w:before="120" w:after="120"/>
              <w:ind w:left="113" w:right="113"/>
              <w:rPr>
                <w:rFonts w:ascii="Arial" w:hAnsi="Arial" w:cs="Arial"/>
                <w:sz w:val="24"/>
                <w:szCs w:val="24"/>
              </w:rPr>
            </w:pPr>
            <w:r w:rsidRPr="0001518E">
              <w:rPr>
                <w:rFonts w:ascii="Arial" w:hAnsi="Arial" w:cs="Arial"/>
                <w:sz w:val="24"/>
                <w:szCs w:val="24"/>
              </w:rPr>
              <w:t>x</w:t>
            </w:r>
          </w:p>
        </w:tc>
      </w:tr>
      <w:tr w:rsidR="00023679" w:rsidRPr="0001518E" w14:paraId="1F6D66D6" w14:textId="77777777" w:rsidTr="00023679">
        <w:trPr>
          <w:cantSplit/>
          <w:trHeight w:val="350"/>
        </w:trPr>
        <w:tc>
          <w:tcPr>
            <w:tcW w:w="6368" w:type="dxa"/>
            <w:vAlign w:val="center"/>
          </w:tcPr>
          <w:p w14:paraId="36029A9E" w14:textId="07B8F9DC" w:rsidR="00023679" w:rsidRPr="0001518E" w:rsidRDefault="00023679" w:rsidP="0001518E">
            <w:pPr>
              <w:spacing w:before="120" w:after="120"/>
              <w:rPr>
                <w:rFonts w:ascii="Arial" w:hAnsi="Arial" w:cs="Arial"/>
                <w:sz w:val="20"/>
                <w:szCs w:val="20"/>
              </w:rPr>
            </w:pPr>
          </w:p>
        </w:tc>
        <w:tc>
          <w:tcPr>
            <w:tcW w:w="608" w:type="dxa"/>
            <w:textDirection w:val="tbRl"/>
          </w:tcPr>
          <w:p w14:paraId="1CF27545" w14:textId="77777777" w:rsidR="00023679" w:rsidRPr="0001518E" w:rsidRDefault="00023679" w:rsidP="0001518E">
            <w:pPr>
              <w:spacing w:before="120" w:after="120"/>
              <w:ind w:left="113" w:right="113"/>
              <w:rPr>
                <w:rFonts w:ascii="Arial" w:hAnsi="Arial" w:cs="Arial"/>
                <w:sz w:val="24"/>
                <w:szCs w:val="24"/>
              </w:rPr>
            </w:pPr>
          </w:p>
        </w:tc>
        <w:tc>
          <w:tcPr>
            <w:tcW w:w="506" w:type="dxa"/>
            <w:textDirection w:val="tbRl"/>
          </w:tcPr>
          <w:p w14:paraId="1C8991B0"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64A6DA90"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701BA70B"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6FE43DF0"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22292497" w14:textId="77777777" w:rsidR="00023679" w:rsidRPr="0001518E" w:rsidRDefault="00023679" w:rsidP="0001518E">
            <w:pPr>
              <w:spacing w:before="120" w:after="120"/>
              <w:ind w:left="113" w:right="113"/>
              <w:rPr>
                <w:rFonts w:ascii="Arial" w:hAnsi="Arial" w:cs="Arial"/>
                <w:sz w:val="24"/>
                <w:szCs w:val="24"/>
              </w:rPr>
            </w:pPr>
          </w:p>
        </w:tc>
      </w:tr>
      <w:tr w:rsidR="00023679" w:rsidRPr="0001518E" w14:paraId="2EAF429B" w14:textId="77777777" w:rsidTr="00023679">
        <w:trPr>
          <w:cantSplit/>
          <w:trHeight w:val="350"/>
        </w:trPr>
        <w:tc>
          <w:tcPr>
            <w:tcW w:w="6368" w:type="dxa"/>
            <w:vAlign w:val="center"/>
          </w:tcPr>
          <w:p w14:paraId="405BBC7D" w14:textId="77777777" w:rsidR="00023679" w:rsidRPr="0001518E" w:rsidRDefault="00023679" w:rsidP="0001518E">
            <w:pPr>
              <w:spacing w:before="120" w:after="120"/>
              <w:rPr>
                <w:rFonts w:ascii="Arial" w:hAnsi="Arial" w:cs="Arial"/>
                <w:sz w:val="20"/>
                <w:szCs w:val="20"/>
              </w:rPr>
            </w:pPr>
          </w:p>
        </w:tc>
        <w:tc>
          <w:tcPr>
            <w:tcW w:w="608" w:type="dxa"/>
            <w:textDirection w:val="tbRl"/>
          </w:tcPr>
          <w:p w14:paraId="1A5ACF6B" w14:textId="77777777" w:rsidR="00023679" w:rsidRPr="0001518E" w:rsidRDefault="00023679" w:rsidP="0001518E">
            <w:pPr>
              <w:spacing w:before="120" w:after="120"/>
              <w:ind w:left="113" w:right="113"/>
              <w:rPr>
                <w:rFonts w:ascii="Arial" w:hAnsi="Arial" w:cs="Arial"/>
                <w:sz w:val="24"/>
                <w:szCs w:val="24"/>
              </w:rPr>
            </w:pPr>
          </w:p>
        </w:tc>
        <w:tc>
          <w:tcPr>
            <w:tcW w:w="506" w:type="dxa"/>
            <w:textDirection w:val="tbRl"/>
          </w:tcPr>
          <w:p w14:paraId="28D404B4"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68C53625"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70BB1197"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539EBA20"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0B57499A" w14:textId="77777777" w:rsidR="00023679" w:rsidRPr="0001518E" w:rsidRDefault="00023679" w:rsidP="0001518E">
            <w:pPr>
              <w:spacing w:before="120" w:after="120"/>
              <w:ind w:left="113" w:right="113"/>
              <w:rPr>
                <w:rFonts w:ascii="Arial" w:hAnsi="Arial" w:cs="Arial"/>
                <w:sz w:val="24"/>
                <w:szCs w:val="24"/>
              </w:rPr>
            </w:pPr>
          </w:p>
        </w:tc>
      </w:tr>
      <w:tr w:rsidR="00023679" w:rsidRPr="0001518E" w14:paraId="155F507E" w14:textId="77777777" w:rsidTr="00023679">
        <w:trPr>
          <w:cantSplit/>
          <w:trHeight w:val="350"/>
        </w:trPr>
        <w:tc>
          <w:tcPr>
            <w:tcW w:w="6368" w:type="dxa"/>
            <w:vAlign w:val="center"/>
          </w:tcPr>
          <w:p w14:paraId="60C75CE7" w14:textId="77777777" w:rsidR="00023679" w:rsidRPr="0001518E" w:rsidRDefault="00023679" w:rsidP="0001518E">
            <w:pPr>
              <w:spacing w:before="120" w:after="120"/>
              <w:rPr>
                <w:rFonts w:ascii="Arial" w:hAnsi="Arial" w:cs="Arial"/>
                <w:sz w:val="20"/>
                <w:szCs w:val="20"/>
              </w:rPr>
            </w:pPr>
          </w:p>
        </w:tc>
        <w:tc>
          <w:tcPr>
            <w:tcW w:w="608" w:type="dxa"/>
            <w:textDirection w:val="tbRl"/>
          </w:tcPr>
          <w:p w14:paraId="5B440300" w14:textId="77777777" w:rsidR="00023679" w:rsidRPr="0001518E" w:rsidRDefault="00023679" w:rsidP="0001518E">
            <w:pPr>
              <w:spacing w:before="120" w:after="120"/>
              <w:ind w:left="113" w:right="113"/>
              <w:rPr>
                <w:rFonts w:ascii="Arial" w:hAnsi="Arial" w:cs="Arial"/>
                <w:sz w:val="24"/>
                <w:szCs w:val="24"/>
              </w:rPr>
            </w:pPr>
          </w:p>
        </w:tc>
        <w:tc>
          <w:tcPr>
            <w:tcW w:w="506" w:type="dxa"/>
            <w:textDirection w:val="tbRl"/>
          </w:tcPr>
          <w:p w14:paraId="5B340538"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75B91699"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58A4E2F1"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48A31F07" w14:textId="77777777" w:rsidR="00023679" w:rsidRPr="0001518E" w:rsidRDefault="00023679" w:rsidP="0001518E">
            <w:pPr>
              <w:spacing w:before="120" w:after="120"/>
              <w:ind w:left="113" w:right="113"/>
              <w:rPr>
                <w:rFonts w:ascii="Arial" w:hAnsi="Arial" w:cs="Arial"/>
                <w:sz w:val="24"/>
                <w:szCs w:val="24"/>
              </w:rPr>
            </w:pPr>
          </w:p>
        </w:tc>
        <w:tc>
          <w:tcPr>
            <w:tcW w:w="537" w:type="dxa"/>
            <w:textDirection w:val="tbRl"/>
          </w:tcPr>
          <w:p w14:paraId="34EA2377" w14:textId="77777777" w:rsidR="00023679" w:rsidRPr="0001518E" w:rsidRDefault="00023679" w:rsidP="0001518E">
            <w:pPr>
              <w:spacing w:before="120" w:after="120"/>
              <w:ind w:left="113" w:right="113"/>
              <w:rPr>
                <w:rFonts w:ascii="Arial" w:hAnsi="Arial" w:cs="Arial"/>
                <w:sz w:val="24"/>
                <w:szCs w:val="24"/>
              </w:rPr>
            </w:pPr>
          </w:p>
        </w:tc>
      </w:tr>
    </w:tbl>
    <w:p w14:paraId="7B95971E" w14:textId="77777777" w:rsidR="00023679" w:rsidRPr="0001518E" w:rsidRDefault="00023679" w:rsidP="0001518E">
      <w:pPr>
        <w:spacing w:before="120" w:after="120"/>
        <w:rPr>
          <w:rFonts w:ascii="Arial" w:hAnsi="Arial" w:cs="Arial"/>
          <w:sz w:val="24"/>
          <w:szCs w:val="24"/>
        </w:rPr>
      </w:pPr>
    </w:p>
    <w:p w14:paraId="2D1473AC" w14:textId="77777777" w:rsidR="00023679" w:rsidRPr="0001518E" w:rsidRDefault="00023679" w:rsidP="0001518E">
      <w:pPr>
        <w:spacing w:before="120" w:after="120"/>
        <w:rPr>
          <w:rFonts w:ascii="Arial" w:hAnsi="Arial" w:cs="Arial"/>
          <w:sz w:val="24"/>
          <w:szCs w:val="24"/>
        </w:rPr>
      </w:pPr>
    </w:p>
    <w:p w14:paraId="4E73D5BD" w14:textId="438B52C0" w:rsidR="00873ED0" w:rsidRPr="0001518E" w:rsidRDefault="00023679" w:rsidP="0001518E">
      <w:pPr>
        <w:spacing w:before="120" w:after="120"/>
        <w:rPr>
          <w:rFonts w:ascii="Arial" w:hAnsi="Arial" w:cs="Arial"/>
          <w:sz w:val="24"/>
          <w:szCs w:val="24"/>
        </w:rPr>
      </w:pPr>
      <w:r w:rsidRPr="0001518E">
        <w:rPr>
          <w:rFonts w:ascii="Arial" w:hAnsi="Arial" w:cs="Arial"/>
          <w:sz w:val="24"/>
          <w:szCs w:val="24"/>
        </w:rPr>
        <w:t xml:space="preserve">Annex </w:t>
      </w:r>
      <w:proofErr w:type="gramStart"/>
      <w:r w:rsidRPr="0001518E">
        <w:rPr>
          <w:rFonts w:ascii="Arial" w:hAnsi="Arial" w:cs="Arial"/>
          <w:sz w:val="24"/>
          <w:szCs w:val="24"/>
        </w:rPr>
        <w:t>3 :</w:t>
      </w:r>
      <w:proofErr w:type="gramEnd"/>
      <w:r w:rsidRPr="0001518E">
        <w:rPr>
          <w:rFonts w:ascii="Arial" w:hAnsi="Arial" w:cs="Arial"/>
          <w:sz w:val="24"/>
          <w:szCs w:val="24"/>
        </w:rPr>
        <w:t xml:space="preserve"> Load line </w:t>
      </w:r>
      <w:r w:rsidR="007400CF" w:rsidRPr="0001518E">
        <w:rPr>
          <w:rFonts w:ascii="Arial" w:hAnsi="Arial" w:cs="Arial"/>
          <w:sz w:val="24"/>
          <w:szCs w:val="24"/>
        </w:rPr>
        <w:tab/>
      </w:r>
    </w:p>
    <w:p w14:paraId="52F26E75" w14:textId="39846F1F" w:rsidR="00023679" w:rsidRPr="0001518E" w:rsidRDefault="00023679" w:rsidP="0001518E">
      <w:pPr>
        <w:spacing w:before="120" w:after="120"/>
        <w:rPr>
          <w:rFonts w:ascii="Arial" w:hAnsi="Arial" w:cs="Arial"/>
          <w:sz w:val="24"/>
          <w:szCs w:val="24"/>
        </w:rPr>
      </w:pPr>
    </w:p>
    <w:p w14:paraId="28A7D254" w14:textId="70CA2FE0" w:rsidR="00023679" w:rsidRPr="0001518E" w:rsidRDefault="00023679" w:rsidP="0001518E">
      <w:pPr>
        <w:spacing w:before="120" w:after="120"/>
        <w:rPr>
          <w:rFonts w:ascii="Arial" w:hAnsi="Arial" w:cs="Arial"/>
          <w:sz w:val="24"/>
          <w:szCs w:val="24"/>
        </w:rPr>
      </w:pPr>
      <w:r w:rsidRPr="0001518E">
        <w:rPr>
          <w:rFonts w:ascii="Arial" w:hAnsi="Arial" w:cs="Arial"/>
          <w:noProof/>
        </w:rPr>
        <w:lastRenderedPageBreak/>
        <mc:AlternateContent>
          <mc:Choice Requires="wps">
            <w:drawing>
              <wp:anchor distT="0" distB="0" distL="114300" distR="114300" simplePos="0" relativeHeight="251659264" behindDoc="0" locked="0" layoutInCell="1" allowOverlap="1" wp14:anchorId="179BA6FA" wp14:editId="01F53C39">
                <wp:simplePos x="0" y="0"/>
                <wp:positionH relativeFrom="column">
                  <wp:posOffset>3346833</wp:posOffset>
                </wp:positionH>
                <wp:positionV relativeFrom="paragraph">
                  <wp:posOffset>2652299</wp:posOffset>
                </wp:positionV>
                <wp:extent cx="2122098" cy="310550"/>
                <wp:effectExtent l="0" t="8890" r="22225" b="22225"/>
                <wp:wrapNone/>
                <wp:docPr id="2" name="Text Box 2"/>
                <wp:cNvGraphicFramePr/>
                <a:graphic xmlns:a="http://schemas.openxmlformats.org/drawingml/2006/main">
                  <a:graphicData uri="http://schemas.microsoft.com/office/word/2010/wordprocessingShape">
                    <wps:wsp>
                      <wps:cNvSpPr txBox="1"/>
                      <wps:spPr>
                        <a:xfrm rot="5400000">
                          <a:off x="0" y="0"/>
                          <a:ext cx="2122098" cy="310550"/>
                        </a:xfrm>
                        <a:prstGeom prst="rect">
                          <a:avLst/>
                        </a:prstGeom>
                        <a:solidFill>
                          <a:schemeClr val="lt1"/>
                        </a:solidFill>
                        <a:ln w="6350">
                          <a:solidFill>
                            <a:prstClr val="black"/>
                          </a:solidFill>
                        </a:ln>
                      </wps:spPr>
                      <wps:txbx>
                        <w:txbxContent>
                          <w:p w14:paraId="1984738A" w14:textId="58CEE9A1" w:rsidR="00023679" w:rsidRPr="00023679" w:rsidRDefault="00023679">
                            <w:pPr>
                              <w:rPr>
                                <w:rFonts w:asciiTheme="majorBidi" w:hAnsiTheme="majorBidi" w:cstheme="majorBidi"/>
                                <w:sz w:val="28"/>
                                <w:szCs w:val="28"/>
                              </w:rPr>
                            </w:pPr>
                            <w:r w:rsidRPr="00023679">
                              <w:rPr>
                                <w:rFonts w:asciiTheme="majorBidi" w:hAnsiTheme="majorBidi" w:cstheme="majorBidi"/>
                                <w:sz w:val="28"/>
                                <w:szCs w:val="28"/>
                              </w:rPr>
                              <w:t>¼ th of depth (minimum)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79BA6FA" id="_x0000_t202" coordsize="21600,21600" o:spt="202" path="m,l,21600r21600,l21600,xe">
                <v:stroke joinstyle="miter"/>
                <v:path gradientshapeok="t" o:connecttype="rect"/>
              </v:shapetype>
              <v:shape id="Text Box 2" o:spid="_x0000_s1026" type="#_x0000_t202" style="position:absolute;margin-left:263.55pt;margin-top:208.85pt;width:167.1pt;height:24.4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" fillcolor="white [3201]" strokeweight=".5pt">
                <v:textbox>
                  <w:txbxContent>
                    <w:p w14:paraId="1984738A" w14:textId="58CEE9A1" w:rsidR="00023679" w:rsidRPr="00023679" w:rsidRDefault="00023679">
                      <w:pPr>
                        <w:rPr>
                          <w:rFonts w:asciiTheme="majorBidi" w:hAnsiTheme="majorBidi" w:cstheme="majorBidi"/>
                          <w:sz w:val="28"/>
                          <w:szCs w:val="28"/>
                        </w:rPr>
                      </w:pPr>
                      <w:r w:rsidRPr="00023679">
                        <w:rPr>
                          <w:rFonts w:asciiTheme="majorBidi" w:hAnsiTheme="majorBidi" w:cstheme="majorBidi"/>
                          <w:sz w:val="28"/>
                          <w:szCs w:val="28"/>
                        </w:rPr>
                        <w:t xml:space="preserve">¼ </w:t>
                      </w:r>
                      <w:proofErr w:type="spellStart"/>
                      <w:r w:rsidRPr="00023679">
                        <w:rPr>
                          <w:rFonts w:asciiTheme="majorBidi" w:hAnsiTheme="majorBidi" w:cstheme="majorBidi"/>
                          <w:sz w:val="28"/>
                          <w:szCs w:val="28"/>
                        </w:rPr>
                        <w:t>th</w:t>
                      </w:r>
                      <w:proofErr w:type="spellEnd"/>
                      <w:r w:rsidRPr="00023679">
                        <w:rPr>
                          <w:rFonts w:asciiTheme="majorBidi" w:hAnsiTheme="majorBidi" w:cstheme="majorBidi"/>
                          <w:sz w:val="28"/>
                          <w:szCs w:val="28"/>
                        </w:rPr>
                        <w:t xml:space="preserve"> of depth (minimum)</w:t>
                      </w:r>
                    </w:p>
                  </w:txbxContent>
                </v:textbox>
              </v:shape>
            </w:pict>
          </mc:Fallback>
        </mc:AlternateContent>
      </w:r>
      <w:r w:rsidRPr="0001518E">
        <w:rPr>
          <w:rFonts w:ascii="Arial" w:hAnsi="Arial" w:cs="Arial"/>
          <w:noProof/>
        </w:rPr>
        <w:drawing>
          <wp:inline distT="0" distB="0" distL="0" distR="0" wp14:anchorId="4B700A43" wp14:editId="24468C66">
            <wp:extent cx="4857750" cy="71056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57750" cy="7105650"/>
                    </a:xfrm>
                    <a:prstGeom prst="rect">
                      <a:avLst/>
                    </a:prstGeom>
                  </pic:spPr>
                </pic:pic>
              </a:graphicData>
            </a:graphic>
          </wp:inline>
        </w:drawing>
      </w:r>
    </w:p>
    <w:p w14:paraId="35EEF2F6" w14:textId="2AEB96B8" w:rsidR="00023679" w:rsidRPr="0001518E" w:rsidRDefault="00023679" w:rsidP="0001518E">
      <w:pPr>
        <w:spacing w:before="120" w:after="120"/>
        <w:rPr>
          <w:rFonts w:ascii="Arial" w:hAnsi="Arial" w:cs="Arial"/>
          <w:sz w:val="24"/>
          <w:szCs w:val="24"/>
        </w:rPr>
      </w:pPr>
    </w:p>
    <w:p w14:paraId="2B01D208" w14:textId="7FE357CA" w:rsidR="00023679" w:rsidRPr="0001518E" w:rsidRDefault="00023679" w:rsidP="0001518E">
      <w:pPr>
        <w:spacing w:before="120" w:after="120"/>
        <w:rPr>
          <w:rFonts w:ascii="Arial" w:hAnsi="Arial" w:cs="Arial"/>
          <w:sz w:val="24"/>
          <w:szCs w:val="24"/>
        </w:rPr>
      </w:pPr>
    </w:p>
    <w:p w14:paraId="4FABED3F" w14:textId="11B97650" w:rsidR="00023679" w:rsidRPr="0001518E" w:rsidRDefault="00023679" w:rsidP="0001518E">
      <w:pPr>
        <w:spacing w:before="120" w:after="120"/>
        <w:rPr>
          <w:rFonts w:ascii="Arial" w:hAnsi="Arial" w:cs="Arial"/>
          <w:sz w:val="24"/>
          <w:szCs w:val="24"/>
        </w:rPr>
      </w:pPr>
    </w:p>
    <w:p w14:paraId="12FC882C" w14:textId="77777777" w:rsidR="00023679" w:rsidRPr="0001518E" w:rsidRDefault="00023679" w:rsidP="0001518E">
      <w:pPr>
        <w:spacing w:before="120" w:after="120"/>
        <w:rPr>
          <w:rFonts w:ascii="Arial" w:hAnsi="Arial" w:cs="Arial"/>
          <w:sz w:val="24"/>
          <w:szCs w:val="24"/>
        </w:rPr>
      </w:pPr>
    </w:p>
    <w:sectPr w:rsidR="00023679" w:rsidRPr="000151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E60EFA"/>
    <w:multiLevelType w:val="hybridMultilevel"/>
    <w:tmpl w:val="691837B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D26F55"/>
    <w:multiLevelType w:val="hybridMultilevel"/>
    <w:tmpl w:val="2460BD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3F1939"/>
    <w:multiLevelType w:val="hybridMultilevel"/>
    <w:tmpl w:val="A66CFEC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8677EF1"/>
    <w:multiLevelType w:val="hybridMultilevel"/>
    <w:tmpl w:val="1B20F0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A11C7A"/>
    <w:multiLevelType w:val="hybridMultilevel"/>
    <w:tmpl w:val="3200A1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AD1EAA"/>
    <w:multiLevelType w:val="hybridMultilevel"/>
    <w:tmpl w:val="3E94FD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7BB3603"/>
    <w:multiLevelType w:val="hybridMultilevel"/>
    <w:tmpl w:val="7F068C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5"/>
  </w:num>
  <w:num w:numId="5">
    <w:abstractNumId w:val="4"/>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759"/>
    <w:rsid w:val="0001518E"/>
    <w:rsid w:val="00023679"/>
    <w:rsid w:val="000D4FB1"/>
    <w:rsid w:val="00285FB6"/>
    <w:rsid w:val="00334FBA"/>
    <w:rsid w:val="00397759"/>
    <w:rsid w:val="004059F2"/>
    <w:rsid w:val="00475490"/>
    <w:rsid w:val="005B1B44"/>
    <w:rsid w:val="00651789"/>
    <w:rsid w:val="006C52FE"/>
    <w:rsid w:val="007400CF"/>
    <w:rsid w:val="00873ED0"/>
    <w:rsid w:val="00874357"/>
    <w:rsid w:val="00987469"/>
    <w:rsid w:val="00A85368"/>
    <w:rsid w:val="00B81CE9"/>
    <w:rsid w:val="00BD4277"/>
    <w:rsid w:val="00CC653E"/>
    <w:rsid w:val="00D169F4"/>
    <w:rsid w:val="00D60940"/>
    <w:rsid w:val="00D8718B"/>
    <w:rsid w:val="00EC6353"/>
    <w:rsid w:val="00F276C2"/>
    <w:rsid w:val="00FE3A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E3568"/>
  <w15:chartTrackingRefBased/>
  <w15:docId w15:val="{AF41DFF2-A5C5-4B84-B6BC-DC9E8B71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54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34F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Naseef Mohamed</dc:creator>
  <cp:keywords/>
  <dc:description/>
  <cp:lastModifiedBy>Mohamed Mafaaz Shareef</cp:lastModifiedBy>
  <cp:revision>6</cp:revision>
  <dcterms:created xsi:type="dcterms:W3CDTF">2021-04-18T17:52:00Z</dcterms:created>
  <dcterms:modified xsi:type="dcterms:W3CDTF">2022-04-19T06:10:00Z</dcterms:modified>
</cp:coreProperties>
</file>